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DB6" w:rsidRDefault="00AF3B74" w:rsidP="009C0DB6">
      <w:pPr>
        <w:jc w:val="center"/>
        <w:rPr>
          <w:rFonts w:ascii="Times New Roman" w:hAnsi="Times New Roman"/>
          <w:b/>
        </w:rPr>
      </w:pPr>
      <w:bookmarkStart w:id="0" w:name="_GoBack"/>
      <w:bookmarkEnd w:id="0"/>
      <w:r>
        <w:rPr>
          <w:noProof/>
          <w:lang w:eastAsia="sk-SK"/>
        </w:rPr>
        <w:drawing>
          <wp:anchor distT="0" distB="0" distL="114300" distR="114300" simplePos="0" relativeHeight="251658240" behindDoc="0" locked="0" layoutInCell="1" allowOverlap="1">
            <wp:simplePos x="0" y="0"/>
            <wp:positionH relativeFrom="column">
              <wp:posOffset>-228600</wp:posOffset>
            </wp:positionH>
            <wp:positionV relativeFrom="paragraph">
              <wp:posOffset>-114300</wp:posOffset>
            </wp:positionV>
            <wp:extent cx="885825" cy="885825"/>
            <wp:effectExtent l="0" t="0" r="9525" b="9525"/>
            <wp:wrapSquare wrapText="right"/>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pic:spPr>
                </pic:pic>
              </a:graphicData>
            </a:graphic>
            <wp14:sizeRelH relativeFrom="page">
              <wp14:pctWidth>0</wp14:pctWidth>
            </wp14:sizeRelH>
            <wp14:sizeRelV relativeFrom="page">
              <wp14:pctHeight>0</wp14:pctHeight>
            </wp14:sizeRelV>
          </wp:anchor>
        </w:drawing>
      </w:r>
      <w:r w:rsidR="009C0DB6">
        <w:rPr>
          <w:rFonts w:ascii="Times New Roman" w:hAnsi="Times New Roman"/>
          <w:b/>
        </w:rPr>
        <w:t>GENERÁLNA PROKURATÚRA SLOVENSKEJ REPUBLIKY</w:t>
      </w:r>
    </w:p>
    <w:p w:rsidR="009C0DB6" w:rsidRDefault="009C0DB6" w:rsidP="009C0DB6">
      <w:pPr>
        <w:jc w:val="center"/>
        <w:rPr>
          <w:rFonts w:ascii="Times New Roman" w:hAnsi="Times New Roman"/>
          <w:b/>
        </w:rPr>
      </w:pPr>
    </w:p>
    <w:p w:rsidR="009C0DB6" w:rsidRDefault="009C0DB6" w:rsidP="009C0DB6">
      <w:pPr>
        <w:jc w:val="center"/>
        <w:rPr>
          <w:rFonts w:ascii="Times New Roman" w:hAnsi="Times New Roman"/>
          <w:b/>
        </w:rPr>
      </w:pPr>
      <w:r>
        <w:rPr>
          <w:rFonts w:ascii="Times New Roman" w:hAnsi="Times New Roman"/>
          <w:b/>
        </w:rPr>
        <w:t>ŠTÚROVA ul. 2,  812 85  BRATISLAVA 1</w:t>
      </w:r>
    </w:p>
    <w:p w:rsidR="009C0DB6" w:rsidRDefault="009C0DB6" w:rsidP="009C0DB6">
      <w:pPr>
        <w:rPr>
          <w:rFonts w:ascii="Times New Roman" w:hAnsi="Times New Roman"/>
          <w:b/>
        </w:rPr>
      </w:pPr>
    </w:p>
    <w:p w:rsidR="009C0DB6" w:rsidRDefault="009C0DB6" w:rsidP="009C0DB6">
      <w:pPr>
        <w:rPr>
          <w:rFonts w:ascii="Times New Roman" w:hAnsi="Times New Roman"/>
          <w:b/>
        </w:rPr>
      </w:pPr>
      <w:r>
        <w:rPr>
          <w:rFonts w:ascii="Times New Roman" w:hAnsi="Times New Roman"/>
          <w:b/>
        </w:rPr>
        <w:t xml:space="preserve">                                                     </w:t>
      </w:r>
    </w:p>
    <w:p w:rsidR="009C0DB6" w:rsidRDefault="009C0DB6" w:rsidP="009C0DB6">
      <w:pPr>
        <w:rPr>
          <w:rFonts w:ascii="Times New Roman" w:hAnsi="Times New Roman"/>
        </w:rPr>
      </w:pPr>
      <w:r>
        <w:rPr>
          <w:rFonts w:ascii="Times New Roman" w:hAnsi="Times New Roman"/>
        </w:rPr>
        <w:t xml:space="preserve">                      </w:t>
      </w:r>
    </w:p>
    <w:p w:rsidR="009C0DB6" w:rsidRDefault="009C0DB6" w:rsidP="009C0DB6">
      <w:pPr>
        <w:rPr>
          <w:rFonts w:ascii="Times New Roman" w:hAnsi="Times New Roman"/>
        </w:rPr>
      </w:pPr>
      <w:r>
        <w:rPr>
          <w:rFonts w:ascii="Times New Roman" w:hAnsi="Times New Roman"/>
        </w:rPr>
        <w:t>Sp. zn. IV/1 Spr 434/15/1000 - 74</w:t>
      </w:r>
    </w:p>
    <w:p w:rsidR="009C0DB6" w:rsidRDefault="009C0DB6" w:rsidP="009C0DB6">
      <w:pPr>
        <w:rPr>
          <w:rFonts w:ascii="Times New Roman" w:hAnsi="Times New Roman"/>
        </w:rPr>
      </w:pPr>
      <w:r>
        <w:rPr>
          <w:rFonts w:ascii="Times New Roman" w:hAnsi="Times New Roman"/>
        </w:rPr>
        <w:t xml:space="preserve">    </w:t>
      </w: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rPr>
          <w:rFonts w:ascii="Times New Roman" w:hAnsi="Times New Roman"/>
        </w:rPr>
      </w:pPr>
      <w:r>
        <w:rPr>
          <w:rFonts w:ascii="Times New Roman" w:hAnsi="Times New Roman"/>
        </w:rPr>
        <w:t>Materiál na rokovanie</w:t>
      </w:r>
    </w:p>
    <w:p w:rsidR="009C0DB6" w:rsidRDefault="009C0DB6" w:rsidP="009C0DB6">
      <w:pPr>
        <w:rPr>
          <w:rFonts w:ascii="Times New Roman" w:hAnsi="Times New Roman"/>
        </w:rPr>
      </w:pPr>
      <w:r>
        <w:rPr>
          <w:rFonts w:ascii="Times New Roman" w:hAnsi="Times New Roman"/>
        </w:rPr>
        <w:t>Komisie pre</w:t>
      </w:r>
    </w:p>
    <w:p w:rsidR="009C0DB6" w:rsidRDefault="009C0DB6" w:rsidP="009C0DB6">
      <w:pPr>
        <w:rPr>
          <w:rFonts w:ascii="Times New Roman" w:hAnsi="Times New Roman"/>
        </w:rPr>
      </w:pPr>
      <w:r>
        <w:rPr>
          <w:rFonts w:ascii="Times New Roman" w:hAnsi="Times New Roman"/>
        </w:rPr>
        <w:t>vydávanie záväzných stanovísk</w:t>
      </w:r>
    </w:p>
    <w:p w:rsidR="009C0DB6" w:rsidRDefault="009C0DB6" w:rsidP="009C0DB6">
      <w:pPr>
        <w:rPr>
          <w:rFonts w:ascii="Times New Roman" w:hAnsi="Times New Roman"/>
        </w:rPr>
      </w:pPr>
    </w:p>
    <w:p w:rsidR="009C0DB6" w:rsidRDefault="009C0DB6" w:rsidP="009C0DB6">
      <w:pPr>
        <w:rPr>
          <w:rFonts w:ascii="Times New Roman" w:hAnsi="Times New Roman"/>
        </w:rPr>
      </w:pPr>
      <w:r>
        <w:rPr>
          <w:rFonts w:ascii="Times New Roman" w:hAnsi="Times New Roman"/>
        </w:rPr>
        <w:t xml:space="preserve">           </w:t>
      </w: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jc w:val="center"/>
        <w:rPr>
          <w:rFonts w:ascii="Times New Roman" w:hAnsi="Times New Roman"/>
          <w:b/>
        </w:rPr>
      </w:pPr>
      <w:r>
        <w:rPr>
          <w:rFonts w:ascii="Times New Roman" w:hAnsi="Times New Roman"/>
          <w:b/>
        </w:rPr>
        <w:t>NÁVRH</w:t>
      </w:r>
    </w:p>
    <w:p w:rsidR="009C0DB6" w:rsidRDefault="009C0DB6" w:rsidP="009C0DB6">
      <w:pPr>
        <w:rPr>
          <w:rFonts w:ascii="Times New Roman" w:hAnsi="Times New Roman"/>
          <w:b/>
        </w:rPr>
      </w:pPr>
    </w:p>
    <w:p w:rsidR="009C0DB6" w:rsidRDefault="009C0DB6" w:rsidP="009C0DB6">
      <w:pPr>
        <w:rPr>
          <w:rFonts w:ascii="Times New Roman" w:hAnsi="Times New Roman"/>
          <w:b/>
        </w:rPr>
      </w:pPr>
    </w:p>
    <w:p w:rsidR="009C0DB6" w:rsidRDefault="009C0DB6" w:rsidP="009C0DB6">
      <w:pPr>
        <w:jc w:val="both"/>
        <w:rPr>
          <w:rFonts w:ascii="Times New Roman" w:hAnsi="Times New Roman"/>
          <w:b/>
        </w:rPr>
      </w:pPr>
      <w:r>
        <w:rPr>
          <w:rFonts w:ascii="Times New Roman" w:hAnsi="Times New Roman"/>
          <w:b/>
        </w:rPr>
        <w:t>stanoviska generálneho prokurátora Slovenskej republiky k právnemu posúdeniu trestného činu úverového podvodu podľa § 222 Trestného zákona v súvislosti s poskytovaním úveru nebankovými subjektmi</w:t>
      </w:r>
    </w:p>
    <w:p w:rsidR="009C0DB6" w:rsidRDefault="009C0DB6" w:rsidP="009C0DB6">
      <w:pPr>
        <w:rPr>
          <w:rFonts w:ascii="Times New Roman" w:hAnsi="Times New Roman"/>
          <w:b/>
        </w:rPr>
      </w:pPr>
    </w:p>
    <w:p w:rsidR="009C0DB6" w:rsidRDefault="009C0DB6" w:rsidP="009C0DB6">
      <w:pPr>
        <w:rPr>
          <w:rFonts w:ascii="Times New Roman" w:hAnsi="Times New Roman"/>
          <w:b/>
        </w:rPr>
      </w:pPr>
    </w:p>
    <w:p w:rsidR="009C0DB6" w:rsidRDefault="009C0DB6" w:rsidP="009C0DB6">
      <w:pPr>
        <w:rPr>
          <w:rFonts w:ascii="Times New Roman" w:hAnsi="Times New Roman"/>
          <w:b/>
        </w:rPr>
      </w:pPr>
    </w:p>
    <w:p w:rsidR="009C0DB6" w:rsidRDefault="009C0DB6" w:rsidP="009C0DB6">
      <w:pPr>
        <w:rPr>
          <w:rFonts w:ascii="Times New Roman" w:hAnsi="Times New Roman"/>
          <w:b/>
        </w:rPr>
      </w:pPr>
    </w:p>
    <w:p w:rsidR="009C0DB6" w:rsidRDefault="009C0DB6" w:rsidP="009C0DB6">
      <w:pPr>
        <w:rPr>
          <w:rFonts w:ascii="Times New Roman" w:hAnsi="Times New Roman"/>
          <w:u w:val="single"/>
        </w:rPr>
      </w:pPr>
      <w:r>
        <w:rPr>
          <w:rFonts w:ascii="Times New Roman" w:hAnsi="Times New Roman"/>
          <w:u w:val="single"/>
        </w:rPr>
        <w:t>Podnet:</w:t>
      </w:r>
      <w:r>
        <w:rPr>
          <w:rFonts w:ascii="Times New Roman" w:hAnsi="Times New Roman"/>
        </w:rPr>
        <w:t xml:space="preserve">                                                                                   </w:t>
      </w:r>
      <w:r>
        <w:rPr>
          <w:rFonts w:ascii="Times New Roman" w:hAnsi="Times New Roman"/>
          <w:u w:val="single"/>
        </w:rPr>
        <w:t>Obsah materiálu:</w:t>
      </w:r>
    </w:p>
    <w:p w:rsidR="009C0DB6" w:rsidRDefault="009C0DB6" w:rsidP="009C0DB6">
      <w:pPr>
        <w:rPr>
          <w:rFonts w:ascii="Times New Roman" w:hAnsi="Times New Roman"/>
        </w:rPr>
      </w:pPr>
      <w:r>
        <w:rPr>
          <w:rFonts w:ascii="Times New Roman" w:hAnsi="Times New Roman"/>
        </w:rPr>
        <w:t xml:space="preserve">vlastný poznatok                                                                   1.  Návrh uznesenia </w:t>
      </w:r>
    </w:p>
    <w:p w:rsidR="009C0DB6" w:rsidRDefault="009C0DB6" w:rsidP="009C0DB6">
      <w:pPr>
        <w:rPr>
          <w:rFonts w:ascii="Times New Roman" w:hAnsi="Times New Roman"/>
        </w:rPr>
      </w:pPr>
      <w:r>
        <w:rPr>
          <w:rFonts w:ascii="Times New Roman" w:hAnsi="Times New Roman"/>
        </w:rPr>
        <w:t>prokuratúry (trestný odbor</w:t>
      </w:r>
      <w:r>
        <w:rPr>
          <w:rFonts w:ascii="Times New Roman" w:hAnsi="Times New Roman"/>
        </w:rPr>
        <w:tab/>
      </w:r>
      <w:r>
        <w:rPr>
          <w:rFonts w:ascii="Times New Roman" w:hAnsi="Times New Roman"/>
        </w:rPr>
        <w:tab/>
        <w:t xml:space="preserve">                                   2.  Vlastný materiál</w:t>
      </w:r>
    </w:p>
    <w:p w:rsidR="009C0DB6" w:rsidRDefault="009C0DB6" w:rsidP="009C0DB6">
      <w:pPr>
        <w:rPr>
          <w:rFonts w:ascii="Times New Roman" w:hAnsi="Times New Roman"/>
        </w:rPr>
      </w:pPr>
      <w:r>
        <w:rPr>
          <w:rFonts w:ascii="Times New Roman" w:hAnsi="Times New Roman"/>
        </w:rPr>
        <w:t>Generálnej prokuratúry</w:t>
      </w:r>
    </w:p>
    <w:p w:rsidR="009C0DB6" w:rsidRDefault="009C0DB6" w:rsidP="009C0DB6">
      <w:pPr>
        <w:rPr>
          <w:rFonts w:ascii="Times New Roman" w:hAnsi="Times New Roman"/>
        </w:rPr>
      </w:pPr>
      <w:r>
        <w:rPr>
          <w:rFonts w:ascii="Times New Roman" w:hAnsi="Times New Roman"/>
        </w:rPr>
        <w:t>Slovenskej republiky)</w:t>
      </w: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rPr>
          <w:rFonts w:ascii="Times New Roman" w:hAnsi="Times New Roman"/>
        </w:rPr>
      </w:pPr>
    </w:p>
    <w:p w:rsidR="009C0DB6" w:rsidRDefault="009C0DB6" w:rsidP="009C0DB6">
      <w:pPr>
        <w:rPr>
          <w:rFonts w:ascii="Times New Roman" w:hAnsi="Times New Roman"/>
          <w:b/>
          <w:u w:val="single"/>
        </w:rPr>
      </w:pPr>
      <w:r>
        <w:rPr>
          <w:rFonts w:ascii="Times New Roman" w:hAnsi="Times New Roman"/>
          <w:b/>
          <w:u w:val="single"/>
        </w:rPr>
        <w:t>Predkladá:</w:t>
      </w:r>
    </w:p>
    <w:p w:rsidR="009C0DB6" w:rsidRDefault="009C0DB6" w:rsidP="009C0DB6">
      <w:pPr>
        <w:rPr>
          <w:rFonts w:ascii="Times New Roman" w:hAnsi="Times New Roman"/>
          <w:b/>
        </w:rPr>
      </w:pPr>
    </w:p>
    <w:p w:rsidR="009C0DB6" w:rsidRDefault="009C0DB6" w:rsidP="009C0DB6">
      <w:pPr>
        <w:rPr>
          <w:rFonts w:ascii="Times New Roman" w:hAnsi="Times New Roman"/>
          <w:b/>
        </w:rPr>
      </w:pPr>
      <w:r>
        <w:rPr>
          <w:rFonts w:ascii="Times New Roman" w:hAnsi="Times New Roman"/>
          <w:b/>
        </w:rPr>
        <w:t>JAROMÍR ČIŽNÁR</w:t>
      </w:r>
    </w:p>
    <w:p w:rsidR="009C0DB6" w:rsidRDefault="009C0DB6" w:rsidP="009C0DB6">
      <w:pPr>
        <w:rPr>
          <w:rFonts w:ascii="Times New Roman" w:hAnsi="Times New Roman"/>
        </w:rPr>
      </w:pPr>
      <w:r>
        <w:rPr>
          <w:rFonts w:ascii="Times New Roman" w:hAnsi="Times New Roman"/>
        </w:rPr>
        <w:t xml:space="preserve">generálny prokurátor </w:t>
      </w:r>
    </w:p>
    <w:p w:rsidR="009C0DB6" w:rsidRDefault="009C0DB6" w:rsidP="009C0DB6">
      <w:pPr>
        <w:rPr>
          <w:rFonts w:ascii="Times New Roman" w:hAnsi="Times New Roman"/>
        </w:rPr>
      </w:pPr>
      <w:r>
        <w:rPr>
          <w:rFonts w:ascii="Times New Roman" w:hAnsi="Times New Roman"/>
        </w:rPr>
        <w:t>Slovenskej republiky</w:t>
      </w:r>
    </w:p>
    <w:p w:rsidR="009C0DB6" w:rsidRDefault="009C0DB6" w:rsidP="009C0DB6">
      <w:pPr>
        <w:rPr>
          <w:rFonts w:ascii="Times New Roman" w:hAnsi="Times New Roman"/>
        </w:rPr>
      </w:pPr>
    </w:p>
    <w:p w:rsidR="009C0DB6" w:rsidRDefault="009C0DB6" w:rsidP="009C0DB6">
      <w:pPr>
        <w:jc w:val="center"/>
        <w:rPr>
          <w:rFonts w:ascii="Times New Roman" w:hAnsi="Times New Roman"/>
        </w:rPr>
      </w:pPr>
    </w:p>
    <w:p w:rsidR="009C0DB6" w:rsidRDefault="009C0DB6" w:rsidP="009C0DB6">
      <w:pPr>
        <w:jc w:val="center"/>
        <w:rPr>
          <w:rFonts w:ascii="Times New Roman" w:hAnsi="Times New Roman"/>
        </w:rPr>
      </w:pPr>
    </w:p>
    <w:p w:rsidR="009C0DB6" w:rsidRDefault="009C0DB6" w:rsidP="009C0DB6">
      <w:pPr>
        <w:jc w:val="center"/>
        <w:rPr>
          <w:rFonts w:ascii="Times New Roman" w:hAnsi="Times New Roman"/>
        </w:rPr>
      </w:pPr>
    </w:p>
    <w:p w:rsidR="009C0DB6" w:rsidRDefault="009C0DB6" w:rsidP="009C0DB6">
      <w:pPr>
        <w:jc w:val="center"/>
        <w:rPr>
          <w:rFonts w:ascii="Times New Roman" w:hAnsi="Times New Roman"/>
        </w:rPr>
      </w:pPr>
      <w:r>
        <w:rPr>
          <w:rFonts w:ascii="Times New Roman" w:hAnsi="Times New Roman"/>
        </w:rPr>
        <w:t>Bratislava                2017</w:t>
      </w:r>
    </w:p>
    <w:p w:rsidR="009C0DB6" w:rsidRDefault="009C0DB6" w:rsidP="009C0DB6">
      <w:pPr>
        <w:rPr>
          <w:rFonts w:ascii="Times New Roman" w:hAnsi="Times New Roman"/>
        </w:rPr>
      </w:pPr>
    </w:p>
    <w:p w:rsidR="009C0DB6" w:rsidRPr="00D32D5B" w:rsidRDefault="009C0DB6" w:rsidP="009C0DB6">
      <w:pPr>
        <w:ind w:left="8647" w:hanging="8647"/>
        <w:jc w:val="center"/>
        <w:rPr>
          <w:rFonts w:ascii="Times New Roman" w:hAnsi="Times New Roman"/>
          <w:b/>
          <w:sz w:val="28"/>
          <w:szCs w:val="28"/>
        </w:rPr>
      </w:pPr>
      <w:r w:rsidRPr="00D32D5B">
        <w:rPr>
          <w:rFonts w:ascii="Times New Roman" w:hAnsi="Times New Roman"/>
          <w:b/>
          <w:sz w:val="28"/>
          <w:szCs w:val="28"/>
        </w:rPr>
        <w:lastRenderedPageBreak/>
        <w:t>KOMISIA  PRE  VYDÁVANIE  ZÁVÄZNÝCH  STANOVÍSK</w:t>
      </w:r>
    </w:p>
    <w:p w:rsidR="009C0DB6" w:rsidRPr="00D32D5B" w:rsidRDefault="009C0DB6" w:rsidP="009C0DB6">
      <w:pPr>
        <w:ind w:left="8647" w:hanging="8647"/>
        <w:jc w:val="center"/>
        <w:rPr>
          <w:rFonts w:ascii="Times New Roman" w:hAnsi="Times New Roman"/>
          <w:b/>
          <w:sz w:val="28"/>
          <w:szCs w:val="28"/>
        </w:rPr>
      </w:pPr>
    </w:p>
    <w:p w:rsidR="009C0DB6" w:rsidRPr="00D32D5B" w:rsidRDefault="009C0DB6" w:rsidP="009C0DB6">
      <w:pPr>
        <w:ind w:left="8647" w:hanging="8647"/>
        <w:jc w:val="center"/>
        <w:rPr>
          <w:rFonts w:ascii="Times New Roman" w:hAnsi="Times New Roman"/>
          <w:b/>
          <w:sz w:val="28"/>
          <w:szCs w:val="28"/>
        </w:rPr>
      </w:pPr>
    </w:p>
    <w:p w:rsidR="009C0DB6" w:rsidRPr="00D32D5B" w:rsidRDefault="009C0DB6" w:rsidP="009C0DB6">
      <w:pPr>
        <w:ind w:left="8647" w:hanging="8647"/>
        <w:jc w:val="center"/>
        <w:rPr>
          <w:rFonts w:ascii="Times New Roman" w:hAnsi="Times New Roman"/>
          <w:b/>
          <w:sz w:val="28"/>
          <w:szCs w:val="28"/>
        </w:rPr>
      </w:pPr>
    </w:p>
    <w:p w:rsidR="009C0DB6" w:rsidRPr="00D32D5B" w:rsidRDefault="009C0DB6" w:rsidP="009C0DB6">
      <w:pPr>
        <w:ind w:left="8647" w:hanging="8647"/>
        <w:jc w:val="center"/>
        <w:rPr>
          <w:rFonts w:ascii="Times New Roman" w:hAnsi="Times New Roman"/>
          <w:b/>
          <w:sz w:val="28"/>
          <w:szCs w:val="28"/>
        </w:rPr>
      </w:pPr>
      <w:r w:rsidRPr="00D32D5B">
        <w:rPr>
          <w:rFonts w:ascii="Times New Roman" w:hAnsi="Times New Roman"/>
          <w:b/>
          <w:sz w:val="28"/>
          <w:szCs w:val="28"/>
        </w:rPr>
        <w:t>UZNESENIE</w:t>
      </w:r>
    </w:p>
    <w:p w:rsidR="009C0DB6" w:rsidRPr="00D32D5B" w:rsidRDefault="009C0DB6" w:rsidP="009C0DB6">
      <w:pPr>
        <w:ind w:left="8647" w:hanging="8647"/>
        <w:jc w:val="center"/>
        <w:rPr>
          <w:rFonts w:ascii="Times New Roman" w:hAnsi="Times New Roman"/>
          <w:b/>
          <w:sz w:val="28"/>
          <w:szCs w:val="28"/>
        </w:rPr>
      </w:pPr>
    </w:p>
    <w:p w:rsidR="009C0DB6" w:rsidRPr="00D32D5B" w:rsidRDefault="009C0DB6" w:rsidP="009C0DB6">
      <w:pPr>
        <w:ind w:left="8647" w:hanging="8647"/>
        <w:jc w:val="center"/>
        <w:rPr>
          <w:rFonts w:ascii="Times New Roman" w:hAnsi="Times New Roman"/>
          <w:b/>
          <w:sz w:val="28"/>
          <w:szCs w:val="28"/>
        </w:rPr>
      </w:pPr>
    </w:p>
    <w:p w:rsidR="009C0DB6" w:rsidRPr="00D32D5B" w:rsidRDefault="009C0DB6" w:rsidP="009C0DB6">
      <w:pPr>
        <w:ind w:left="8647" w:hanging="8647"/>
        <w:jc w:val="center"/>
        <w:rPr>
          <w:rFonts w:ascii="Times New Roman" w:hAnsi="Times New Roman"/>
          <w:b/>
          <w:sz w:val="28"/>
          <w:szCs w:val="28"/>
        </w:rPr>
      </w:pPr>
    </w:p>
    <w:p w:rsidR="009C0DB6" w:rsidRPr="00D32D5B" w:rsidRDefault="009C0DB6" w:rsidP="009C0DB6">
      <w:pPr>
        <w:ind w:left="8647" w:hanging="8647"/>
        <w:jc w:val="center"/>
        <w:rPr>
          <w:rFonts w:ascii="Times New Roman" w:hAnsi="Times New Roman"/>
          <w:b/>
          <w:sz w:val="28"/>
          <w:szCs w:val="28"/>
        </w:rPr>
      </w:pPr>
    </w:p>
    <w:p w:rsidR="009C0DB6" w:rsidRPr="00D32D5B" w:rsidRDefault="009C0DB6" w:rsidP="009C0DB6">
      <w:pPr>
        <w:jc w:val="both"/>
        <w:rPr>
          <w:rFonts w:ascii="Times New Roman" w:hAnsi="Times New Roman"/>
        </w:rPr>
      </w:pPr>
      <w:r w:rsidRPr="00D32D5B">
        <w:rPr>
          <w:rFonts w:ascii="Times New Roman" w:hAnsi="Times New Roman"/>
        </w:rPr>
        <w:t>k návrhu stanoviska generálneho prokurátora Slovenskej republiky k právnemu posúdeniu trestného činu úverového podvodu podľa § 222 Trestného zákona v súvislosti s poskytova</w:t>
      </w:r>
      <w:r>
        <w:rPr>
          <w:rFonts w:ascii="Times New Roman" w:hAnsi="Times New Roman"/>
        </w:rPr>
        <w:t>ním úveru nebankovými subjektmi</w:t>
      </w:r>
    </w:p>
    <w:p w:rsidR="009C0DB6" w:rsidRPr="00D32D5B" w:rsidRDefault="009C0DB6" w:rsidP="009C0DB6">
      <w:pPr>
        <w:jc w:val="both"/>
        <w:rPr>
          <w:rFonts w:ascii="Times New Roman" w:hAnsi="Times New Roman"/>
        </w:rPr>
      </w:pPr>
      <w:r w:rsidRPr="00D32D5B">
        <w:rPr>
          <w:rFonts w:ascii="Times New Roman" w:hAnsi="Times New Roman"/>
        </w:rPr>
        <w:t>___________________________________________________________________________</w:t>
      </w:r>
    </w:p>
    <w:p w:rsidR="009C0DB6" w:rsidRPr="00D32D5B" w:rsidRDefault="009C0DB6" w:rsidP="009C0DB6">
      <w:pPr>
        <w:jc w:val="both"/>
        <w:rPr>
          <w:rFonts w:ascii="Times New Roman" w:hAnsi="Times New Roman"/>
        </w:rPr>
      </w:pPr>
    </w:p>
    <w:p w:rsidR="009C0DB6" w:rsidRPr="00D32D5B" w:rsidRDefault="009C0DB6" w:rsidP="009C0DB6">
      <w:pPr>
        <w:jc w:val="both"/>
        <w:rPr>
          <w:rFonts w:ascii="Times New Roman" w:hAnsi="Times New Roman"/>
        </w:rPr>
      </w:pPr>
    </w:p>
    <w:tbl>
      <w:tblPr>
        <w:tblW w:w="0" w:type="auto"/>
        <w:tblLook w:val="04A0" w:firstRow="1" w:lastRow="0" w:firstColumn="1" w:lastColumn="0" w:noHBand="0" w:noVBand="1"/>
      </w:tblPr>
      <w:tblGrid>
        <w:gridCol w:w="3369"/>
        <w:gridCol w:w="5843"/>
      </w:tblGrid>
      <w:tr w:rsidR="009C0DB6" w:rsidRPr="00D32D5B" w:rsidTr="007471A5">
        <w:tc>
          <w:tcPr>
            <w:tcW w:w="3369" w:type="dxa"/>
          </w:tcPr>
          <w:p w:rsidR="009C0DB6" w:rsidRPr="00D32D5B" w:rsidRDefault="009C0DB6" w:rsidP="007471A5">
            <w:pPr>
              <w:jc w:val="both"/>
              <w:rPr>
                <w:rFonts w:ascii="Times New Roman" w:hAnsi="Times New Roman"/>
              </w:rPr>
            </w:pPr>
            <w:r w:rsidRPr="00D32D5B">
              <w:rPr>
                <w:rFonts w:ascii="Times New Roman" w:hAnsi="Times New Roman"/>
              </w:rPr>
              <w:t xml:space="preserve">Číslo uznesenia:    </w:t>
            </w:r>
          </w:p>
        </w:tc>
        <w:tc>
          <w:tcPr>
            <w:tcW w:w="5843" w:type="dxa"/>
          </w:tcPr>
          <w:p w:rsidR="009C0DB6" w:rsidRPr="00D32D5B" w:rsidRDefault="009C0DB6" w:rsidP="007471A5">
            <w:pPr>
              <w:jc w:val="both"/>
              <w:rPr>
                <w:rFonts w:ascii="Times New Roman" w:hAnsi="Times New Roman"/>
              </w:rPr>
            </w:pPr>
            <w:r w:rsidRPr="00D32D5B">
              <w:rPr>
                <w:rFonts w:ascii="Times New Roman" w:hAnsi="Times New Roman"/>
              </w:rPr>
              <w:t>......./2017</w:t>
            </w:r>
          </w:p>
          <w:p w:rsidR="009C0DB6" w:rsidRPr="00D32D5B" w:rsidRDefault="009C0DB6" w:rsidP="007471A5">
            <w:pPr>
              <w:jc w:val="both"/>
              <w:rPr>
                <w:rFonts w:ascii="Times New Roman" w:hAnsi="Times New Roman"/>
              </w:rPr>
            </w:pPr>
          </w:p>
        </w:tc>
      </w:tr>
      <w:tr w:rsidR="009C0DB6" w:rsidRPr="00D32D5B" w:rsidTr="007471A5">
        <w:tc>
          <w:tcPr>
            <w:tcW w:w="3369" w:type="dxa"/>
          </w:tcPr>
          <w:p w:rsidR="009C0DB6" w:rsidRPr="00D32D5B" w:rsidRDefault="009C0DB6" w:rsidP="007471A5">
            <w:pPr>
              <w:jc w:val="both"/>
              <w:rPr>
                <w:rFonts w:ascii="Times New Roman" w:hAnsi="Times New Roman"/>
              </w:rPr>
            </w:pPr>
            <w:r w:rsidRPr="00D32D5B">
              <w:rPr>
                <w:rFonts w:ascii="Times New Roman" w:hAnsi="Times New Roman"/>
              </w:rPr>
              <w:t xml:space="preserve">Zo dňa:                </w:t>
            </w:r>
          </w:p>
        </w:tc>
        <w:tc>
          <w:tcPr>
            <w:tcW w:w="5843" w:type="dxa"/>
          </w:tcPr>
          <w:p w:rsidR="009C0DB6" w:rsidRPr="00D32D5B" w:rsidRDefault="009C0DB6" w:rsidP="007471A5">
            <w:pPr>
              <w:jc w:val="both"/>
              <w:rPr>
                <w:rFonts w:ascii="Times New Roman" w:hAnsi="Times New Roman"/>
              </w:rPr>
            </w:pPr>
            <w:r w:rsidRPr="00D32D5B">
              <w:rPr>
                <w:rFonts w:ascii="Times New Roman" w:hAnsi="Times New Roman"/>
              </w:rPr>
              <w:t>2017</w:t>
            </w:r>
          </w:p>
          <w:p w:rsidR="009C0DB6" w:rsidRPr="00D32D5B" w:rsidRDefault="009C0DB6" w:rsidP="007471A5">
            <w:pPr>
              <w:jc w:val="both"/>
              <w:rPr>
                <w:rFonts w:ascii="Times New Roman" w:hAnsi="Times New Roman"/>
              </w:rPr>
            </w:pPr>
          </w:p>
        </w:tc>
      </w:tr>
      <w:tr w:rsidR="009C0DB6" w:rsidRPr="00D32D5B" w:rsidTr="007471A5">
        <w:tc>
          <w:tcPr>
            <w:tcW w:w="3369" w:type="dxa"/>
          </w:tcPr>
          <w:p w:rsidR="009C0DB6" w:rsidRPr="00D32D5B" w:rsidRDefault="009C0DB6" w:rsidP="007471A5">
            <w:pPr>
              <w:jc w:val="both"/>
              <w:rPr>
                <w:rFonts w:ascii="Times New Roman" w:hAnsi="Times New Roman"/>
              </w:rPr>
            </w:pPr>
            <w:r w:rsidRPr="00D32D5B">
              <w:rPr>
                <w:rFonts w:ascii="Times New Roman" w:hAnsi="Times New Roman"/>
              </w:rPr>
              <w:t>Číslo materiálu:</w:t>
            </w:r>
          </w:p>
        </w:tc>
        <w:tc>
          <w:tcPr>
            <w:tcW w:w="5843" w:type="dxa"/>
          </w:tcPr>
          <w:p w:rsidR="009C0DB6" w:rsidRPr="00D32D5B" w:rsidRDefault="009C0DB6" w:rsidP="007471A5">
            <w:pPr>
              <w:jc w:val="both"/>
              <w:rPr>
                <w:rFonts w:ascii="Times New Roman" w:hAnsi="Times New Roman"/>
              </w:rPr>
            </w:pPr>
            <w:r w:rsidRPr="00D32D5B">
              <w:rPr>
                <w:rFonts w:ascii="Times New Roman" w:hAnsi="Times New Roman"/>
              </w:rPr>
              <w:t>IV/1 Spr 434/15/1000</w:t>
            </w:r>
          </w:p>
          <w:p w:rsidR="009C0DB6" w:rsidRPr="00D32D5B" w:rsidRDefault="009C0DB6" w:rsidP="007471A5">
            <w:pPr>
              <w:jc w:val="both"/>
              <w:rPr>
                <w:rFonts w:ascii="Times New Roman" w:hAnsi="Times New Roman"/>
              </w:rPr>
            </w:pPr>
          </w:p>
        </w:tc>
      </w:tr>
      <w:tr w:rsidR="009C0DB6" w:rsidRPr="00D32D5B" w:rsidTr="007471A5">
        <w:tc>
          <w:tcPr>
            <w:tcW w:w="3369" w:type="dxa"/>
          </w:tcPr>
          <w:p w:rsidR="009C0DB6" w:rsidRPr="00D32D5B" w:rsidRDefault="009C0DB6" w:rsidP="007471A5">
            <w:pPr>
              <w:jc w:val="both"/>
              <w:rPr>
                <w:rFonts w:ascii="Times New Roman" w:hAnsi="Times New Roman"/>
              </w:rPr>
            </w:pPr>
            <w:r w:rsidRPr="00D32D5B">
              <w:rPr>
                <w:rFonts w:ascii="Times New Roman" w:hAnsi="Times New Roman"/>
              </w:rPr>
              <w:t>Predkladateľ:</w:t>
            </w:r>
          </w:p>
        </w:tc>
        <w:tc>
          <w:tcPr>
            <w:tcW w:w="5843" w:type="dxa"/>
          </w:tcPr>
          <w:p w:rsidR="009C0DB6" w:rsidRPr="00D32D5B" w:rsidRDefault="009C0DB6" w:rsidP="007471A5">
            <w:pPr>
              <w:jc w:val="both"/>
              <w:rPr>
                <w:rFonts w:ascii="Times New Roman" w:hAnsi="Times New Roman"/>
              </w:rPr>
            </w:pPr>
            <w:r w:rsidRPr="00D32D5B">
              <w:rPr>
                <w:rFonts w:ascii="Times New Roman" w:hAnsi="Times New Roman"/>
              </w:rPr>
              <w:t>generálny prokurátor Slovenskej republiky</w:t>
            </w:r>
          </w:p>
          <w:p w:rsidR="009C0DB6" w:rsidRPr="00D32D5B" w:rsidRDefault="009C0DB6" w:rsidP="007471A5">
            <w:pPr>
              <w:jc w:val="both"/>
              <w:rPr>
                <w:rFonts w:ascii="Times New Roman" w:hAnsi="Times New Roman"/>
              </w:rPr>
            </w:pPr>
          </w:p>
        </w:tc>
      </w:tr>
      <w:tr w:rsidR="009C0DB6" w:rsidRPr="00D32D5B" w:rsidTr="007471A5">
        <w:tc>
          <w:tcPr>
            <w:tcW w:w="3369" w:type="dxa"/>
          </w:tcPr>
          <w:p w:rsidR="009C0DB6" w:rsidRPr="00D32D5B" w:rsidRDefault="009C0DB6" w:rsidP="007471A5">
            <w:pPr>
              <w:jc w:val="both"/>
              <w:rPr>
                <w:rFonts w:ascii="Times New Roman" w:hAnsi="Times New Roman"/>
              </w:rPr>
            </w:pPr>
            <w:r w:rsidRPr="00D32D5B">
              <w:rPr>
                <w:rFonts w:ascii="Times New Roman" w:hAnsi="Times New Roman"/>
              </w:rPr>
              <w:t>Podnet:</w:t>
            </w:r>
          </w:p>
        </w:tc>
        <w:tc>
          <w:tcPr>
            <w:tcW w:w="5843" w:type="dxa"/>
          </w:tcPr>
          <w:p w:rsidR="009C0DB6" w:rsidRPr="00D32D5B" w:rsidRDefault="009C0DB6" w:rsidP="007471A5">
            <w:pPr>
              <w:jc w:val="both"/>
              <w:rPr>
                <w:rFonts w:ascii="Times New Roman" w:hAnsi="Times New Roman"/>
              </w:rPr>
            </w:pPr>
            <w:r w:rsidRPr="00D32D5B">
              <w:rPr>
                <w:rFonts w:ascii="Times New Roman" w:hAnsi="Times New Roman"/>
              </w:rPr>
              <w:t>vlastný poznatok prokuratúry (trestný odbor Generálnej prokuratúry Slovenskej republiky)</w:t>
            </w:r>
          </w:p>
          <w:p w:rsidR="009C0DB6" w:rsidRPr="00D32D5B" w:rsidRDefault="009C0DB6" w:rsidP="007471A5">
            <w:pPr>
              <w:jc w:val="both"/>
              <w:rPr>
                <w:rFonts w:ascii="Times New Roman" w:hAnsi="Times New Roman"/>
              </w:rPr>
            </w:pPr>
          </w:p>
        </w:tc>
      </w:tr>
      <w:tr w:rsidR="009C0DB6" w:rsidRPr="00D32D5B" w:rsidTr="007471A5">
        <w:tc>
          <w:tcPr>
            <w:tcW w:w="3369" w:type="dxa"/>
          </w:tcPr>
          <w:p w:rsidR="009C0DB6" w:rsidRPr="00D32D5B" w:rsidRDefault="009C0DB6" w:rsidP="007471A5">
            <w:pPr>
              <w:jc w:val="both"/>
              <w:rPr>
                <w:rFonts w:ascii="Times New Roman" w:hAnsi="Times New Roman"/>
              </w:rPr>
            </w:pPr>
            <w:r w:rsidRPr="00D32D5B">
              <w:rPr>
                <w:rFonts w:ascii="Times New Roman" w:hAnsi="Times New Roman"/>
              </w:rPr>
              <w:t xml:space="preserve">Stupeň utajenia: </w:t>
            </w:r>
          </w:p>
          <w:p w:rsidR="009C0DB6" w:rsidRPr="00D32D5B" w:rsidRDefault="009C0DB6" w:rsidP="007471A5">
            <w:pPr>
              <w:jc w:val="both"/>
              <w:rPr>
                <w:rFonts w:ascii="Times New Roman" w:hAnsi="Times New Roman"/>
              </w:rPr>
            </w:pPr>
          </w:p>
        </w:tc>
        <w:tc>
          <w:tcPr>
            <w:tcW w:w="5843" w:type="dxa"/>
          </w:tcPr>
          <w:p w:rsidR="009C0DB6" w:rsidRPr="00D32D5B" w:rsidRDefault="009C0DB6" w:rsidP="007471A5">
            <w:pPr>
              <w:jc w:val="both"/>
              <w:rPr>
                <w:rFonts w:ascii="Times New Roman" w:hAnsi="Times New Roman"/>
              </w:rPr>
            </w:pPr>
            <w:r w:rsidRPr="00D32D5B">
              <w:rPr>
                <w:rFonts w:ascii="Times New Roman" w:hAnsi="Times New Roman"/>
              </w:rPr>
              <w:t>žiadny</w:t>
            </w:r>
          </w:p>
        </w:tc>
      </w:tr>
    </w:tbl>
    <w:p w:rsidR="009C0DB6" w:rsidRPr="00D32D5B" w:rsidRDefault="009C0DB6" w:rsidP="009C0DB6">
      <w:pPr>
        <w:jc w:val="both"/>
        <w:rPr>
          <w:rFonts w:ascii="Times New Roman" w:hAnsi="Times New Roman"/>
        </w:rPr>
      </w:pPr>
    </w:p>
    <w:p w:rsidR="009C0DB6" w:rsidRPr="00D32D5B" w:rsidRDefault="009C0DB6" w:rsidP="009C0DB6">
      <w:pPr>
        <w:rPr>
          <w:rFonts w:ascii="Times New Roman" w:hAnsi="Times New Roman"/>
        </w:rPr>
      </w:pPr>
    </w:p>
    <w:p w:rsidR="00DA7684" w:rsidRDefault="00DA7684"/>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Pr="00BB4109" w:rsidRDefault="009C0DB6" w:rsidP="009C0DB6">
      <w:pPr>
        <w:jc w:val="center"/>
        <w:rPr>
          <w:rFonts w:ascii="Times New Roman" w:hAnsi="Times New Roman"/>
          <w:b/>
        </w:rPr>
      </w:pPr>
      <w:r w:rsidRPr="00BB4109">
        <w:rPr>
          <w:rFonts w:ascii="Times New Roman" w:hAnsi="Times New Roman"/>
          <w:b/>
        </w:rPr>
        <w:lastRenderedPageBreak/>
        <w:t>VLASTNÝ MATERIÁL</w:t>
      </w:r>
    </w:p>
    <w:p w:rsidR="009C0DB6" w:rsidRPr="00BB4109" w:rsidRDefault="009C0DB6" w:rsidP="009C0DB6">
      <w:pPr>
        <w:jc w:val="both"/>
        <w:rPr>
          <w:rFonts w:ascii="Times New Roman" w:hAnsi="Times New Roman"/>
          <w:b/>
        </w:rPr>
      </w:pPr>
    </w:p>
    <w:p w:rsidR="009C0DB6" w:rsidRPr="00BB4109" w:rsidRDefault="009C0DB6" w:rsidP="009C0DB6">
      <w:pPr>
        <w:jc w:val="both"/>
        <w:rPr>
          <w:rFonts w:ascii="Times New Roman" w:hAnsi="Times New Roman"/>
          <w:b/>
        </w:rPr>
      </w:pPr>
      <w:r w:rsidRPr="00BB4109">
        <w:rPr>
          <w:rFonts w:ascii="Times New Roman" w:hAnsi="Times New Roman"/>
          <w:b/>
        </w:rPr>
        <w:t xml:space="preserve">                </w:t>
      </w:r>
    </w:p>
    <w:p w:rsidR="009C0DB6" w:rsidRPr="00BB4109" w:rsidRDefault="009C0DB6" w:rsidP="009C0DB6">
      <w:pPr>
        <w:jc w:val="both"/>
        <w:rPr>
          <w:rFonts w:ascii="Times New Roman" w:hAnsi="Times New Roman"/>
          <w:b/>
        </w:rPr>
      </w:pPr>
      <w:r w:rsidRPr="00BB4109">
        <w:rPr>
          <w:rFonts w:ascii="Times New Roman" w:hAnsi="Times New Roman"/>
          <w:b/>
        </w:rPr>
        <w:t xml:space="preserve">                                                                                            </w:t>
      </w:r>
    </w:p>
    <w:p w:rsidR="009C0DB6" w:rsidRPr="00BB4109" w:rsidRDefault="009C0DB6" w:rsidP="009C0DB6">
      <w:pPr>
        <w:ind w:firstLine="708"/>
        <w:jc w:val="both"/>
        <w:rPr>
          <w:rFonts w:ascii="Times New Roman" w:hAnsi="Times New Roman"/>
        </w:rPr>
      </w:pPr>
      <w:r w:rsidRPr="00BB4109">
        <w:rPr>
          <w:rFonts w:ascii="Times New Roman" w:hAnsi="Times New Roman"/>
        </w:rPr>
        <w:t>Z aplikačnej praxe orgánov činných v trestnom konaní vyplynul problém týkajúci sa stíhania skutku, ktorým by mali byť naplnené znaky skutkovej podstaty trestného činu úverového podvodu podľa § 222 Trestného zákona v prípadoch, ak dlžníci (žiadatelia o úver) uviedli veriteľovi – nebankovému subjektu - pred uzatvorením zmluvy o poskytnutí úveru neúplné, nepresné alebo nepravdivé údaje potrebné na posúdenie ich schopnosti splácať úver, pričom veriteľ úver poskytol napriek tomu, že dôsledne neposúdil schopnosť dlžníka úver splácať.</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O stanovisko k problému aplikačnej praxe boli požiadaní prokurátori okresných prokuratúr, krajských prokuratúr a prokurátori príslušných odborov a oddelení Generálnej prokuratúry Slovenskej republiky.</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Prokurátori oddelenia majetkovej kriminality trestného odboru Generálnej prokuratúry Slovenskej republiky konštatovali, že túto problematiku nie je možné uniformne zovšeobecniť s poukazom na osobitosti každej trestnej veci,  najmä  na okolnosti splnenia podmienok pre  poskytnutie úveru ad hoc.</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V niektorých prípadoch, ktoré prichádzajú do úvahy pri posudzovaní tejto problematiky, prokurátori akceptujú nevyvodenie trestnej zodpovednosti  žiadateľov o úver (dlžníkov), i keď podľa prevládajúceho právneho názoru formálne svojím konaním dlžníci naplnili zákonné znaky skutkovej podstaty trestného činu úverového podvodu, a to s poukazom na to, že veriteľ (zástupca obchodnej spoločnosti) sa sám svojou neopatrnosťou dostal do situácie, kedy uzavrel obchod, ktorý bol pre neho v konečnom dôsledku nevýhodný len preto, že nedodržal ani elementárnu mieru opatrnosti v právnych vzťahoch. Povinnosť dodržiavať obvyklú mieru opatrnosti podľa ustanovenia § 415 Občianskeho zákonníka má každý účastník občianskoprávneho vzťahu – v záväzkových vzťahoch nielen dlžník, ale aj veriteľ.   </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Úver sa poskytuje na základe zmluvy o úvere (§ 497 až 507 Obchodného zákonníka) alebo na základe zmluvy o spotrebiteľskom úvere </w:t>
      </w:r>
      <w:r>
        <w:rPr>
          <w:rFonts w:ascii="Times New Roman" w:hAnsi="Times New Roman"/>
        </w:rPr>
        <w:t>/</w:t>
      </w:r>
      <w:r w:rsidRPr="00BB4109">
        <w:rPr>
          <w:rFonts w:ascii="Times New Roman" w:hAnsi="Times New Roman"/>
        </w:rPr>
        <w:t>zákon č. 129/2010 Z. z. o spotrebiteľských úveroch a o iných úveroch a pôžičkách pre spotrebiteľov a o zmene a doplnení niektorých zákonov v znení neskorších predpisov v znení do 31. decembra 2016 (ďalej len „zákon o spotrebiteľských úveroch“)</w:t>
      </w:r>
      <w:r>
        <w:rPr>
          <w:rFonts w:ascii="Times New Roman" w:hAnsi="Times New Roman"/>
        </w:rPr>
        <w:t>/</w:t>
      </w:r>
      <w:r w:rsidRPr="00BB4109">
        <w:rPr>
          <w:rFonts w:ascii="Times New Roman" w:hAnsi="Times New Roman"/>
        </w:rPr>
        <w:t>.</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Podľa § 497 Obchodného zákonníka zmluvou o úvere sa zaväzuje veriteľ, že na požiadanie dlžníka poskytne v jeho prospech peňažné prostriedky do určitej sumy, a dlžník sa zaväzuje poskytnuté peňažné prostriedky vrátiť a zaplatiť úroky.  </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Podľa § 1 ods. 2 zákona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možno poskytnúť len bezhotovostným prevodom finančných prostriedkov na platobný účet spotrebiteľa, poštovým poukazom, ktorého adresátom je spotrebiteľ alebo platobným prostriedkom vydaným  na meno spotrebiteľa; tým nie je dotknuté  bezhotovostné  poskytnutie viazaného spotrebiteľského úveru podľa § 15 alebo poskytnutie spotrebiteľského </w:t>
      </w:r>
      <w:r w:rsidRPr="00BB4109">
        <w:rPr>
          <w:rFonts w:ascii="Times New Roman" w:hAnsi="Times New Roman"/>
        </w:rPr>
        <w:lastRenderedPageBreak/>
        <w:t>úveru bezhotovostne na splatenie iného úveru alebo úverov úhradou veriteľovi oprávnenému poskytovať úver podľa tohto zákona alebo osobitného predpisu. Spotrebiteľským úverom sú aj mladomanželský úver podľa osobitného predpisu, niektoré stavebné úvery a iné úvery podľa osobitného predpisu a nezabezpečené úvery poskytované spotrebiteľom na účely rekonštrukcie nehnuteľnosti určenej na bývanie, pričom ustanovenia osobitných predpisov týkajúce sa poskytovania týchto úverov tým nie sú dotknuté; obmedzenie hornej hranice výšky úveru podľa odseku 3 písm. f) sa na tieto úvery nevzťahuje.</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Podľa § 1 ods. 3 zákona o spotrebiteľských úveroch spotrebiteľským úverom nie sú: </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 xml:space="preserve">hypotekárny úver a komunálny úver podľa osobitného predpisu, </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na bývanie podľa všeobecného predpisu o úveroch na bývanie,</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zabezpečený záložným právom k nehnuteľnosti,</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ktorého účelom je nadobudnutie alebo zachovanie vlastníckych práv k nehnuteľnosti alebo výstavba nehnuteľnosti,</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ktorého účelom je splatenie úverov na základe zmlúv uvedených v písmenách a) až d),</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 xml:space="preserve">úver, ktorého výška je menej ako 100 eur a viac ako 75 000 eur; ak je na rovnaký alebo obdobný účel uzavretých v období 12 mesiacov viac zmlúv o úvere medzi tým istým veriteľom a spotrebiteľom, súhrn všetkých zmlúv o úvere sa považuje za jediný spotrebiteľský úver podľa tohto zákona, </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nájom podľa Občianskeho zákonníka, ak v zmluve o nájme nie je ustanovená povinnosť kúpy predmetu zmluvy po uplynutí určitej doby,</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formou povoleného prečerpania, ktorý sa musí splatiť do jedného mesiaca, ak v § 4 ods. 14 nie je ustanovené inak,</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bez úroku a bez ďalších poplatkov,</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 xml:space="preserve">úver, ktorý poskytuje zamestnávateľ svojim zamestnancom z vlastných zdrojov bez úroku alebo s ročnou percentuálnou mierou nákladov nižšou, ako prevláda na finančnom trhu, </w:t>
      </w:r>
      <w:r>
        <w:rPr>
          <w:rFonts w:ascii="Times New Roman" w:hAnsi="Times New Roman"/>
        </w:rPr>
        <w:t xml:space="preserve">a ktorý </w:t>
      </w:r>
      <w:r w:rsidRPr="00BB4109">
        <w:rPr>
          <w:rFonts w:ascii="Times New Roman" w:hAnsi="Times New Roman"/>
        </w:rPr>
        <w:t xml:space="preserve"> sa neponúka verejne,</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poskytovaný na základe zmluvy, ktorá je uzavretá na základe rozhodnutia súdu alebo iného orgánu ako výsledok vyriešenia sporu na súde alebo pred iným orgánom,</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ktorý sa musí splatiť v lehote nepresahujúcej tri mesiace,</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podľa osobitných predpisov,</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bez poplatkov týkajúci sa odloženej platby existujúceho dlhu,</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na zabezpečenie ktorého sa od spotrebiteľa vyžaduje, aby ako zábezpeku uložil do úschovy veriteľa hnuteľnú vec a zodpovednosť spotrebiteľa sa obmedzuje výlučne na túto založenú hnuteľnú vec,</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 xml:space="preserve">úver poskytovaný na účely podľa osobitných predpisov pre obmedzený okruh osôb vo verejnom záujme a za úrokové sadzby nižšie ako tie, ktoré prevládajú na finančnom trhu, alebo bezúročný úver, alebo za iných podmienok, ktoré sú pre spotrebiteľa výhodnejšie ako tie, ktoré prevládajú na finančnom trhu, a za úrokové sadzby, ktoré nie sú vyššie ako úrokové sadzby prevládajúce na finančnom trhu, </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ktorého účelom je financovanie sústavného poskytovania služieb alebo dodávanie tovaru rovnakého druhu, ktorý spotrebiteľ spláca počas poskytovania služieb alebo dodávania tovaru formou splátok,</w:t>
      </w:r>
    </w:p>
    <w:p w:rsidR="009C0DB6" w:rsidRPr="00BB4109" w:rsidRDefault="009C0DB6" w:rsidP="009C0DB6">
      <w:pPr>
        <w:numPr>
          <w:ilvl w:val="0"/>
          <w:numId w:val="2"/>
        </w:numPr>
        <w:jc w:val="both"/>
        <w:rPr>
          <w:rFonts w:ascii="Times New Roman" w:hAnsi="Times New Roman"/>
        </w:rPr>
      </w:pPr>
      <w:r w:rsidRPr="00BB4109">
        <w:rPr>
          <w:rFonts w:ascii="Times New Roman" w:hAnsi="Times New Roman"/>
        </w:rPr>
        <w:t>úver poskytovaný vlastníkom bytov a nebytových priestorov zastúpených správcom alebo spoločenstvom vlastníkov na účely podľa osobitného predpisu.</w:t>
      </w:r>
    </w:p>
    <w:p w:rsidR="009C0DB6" w:rsidRPr="00BB4109" w:rsidRDefault="009C0DB6" w:rsidP="009C0DB6">
      <w:pPr>
        <w:jc w:val="both"/>
        <w:rPr>
          <w:rFonts w:ascii="Times New Roman" w:hAnsi="Times New Roman"/>
        </w:rPr>
      </w:pPr>
      <w:r w:rsidRPr="00BB4109">
        <w:rPr>
          <w:rFonts w:ascii="Times New Roman" w:hAnsi="Times New Roman"/>
        </w:rPr>
        <w:t xml:space="preserve"> </w:t>
      </w: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V prípadoch </w:t>
      </w:r>
      <w:r>
        <w:rPr>
          <w:rFonts w:ascii="Times New Roman" w:hAnsi="Times New Roman"/>
        </w:rPr>
        <w:t xml:space="preserve">nebankových </w:t>
      </w:r>
      <w:r w:rsidRPr="00BB4109">
        <w:rPr>
          <w:rFonts w:ascii="Times New Roman" w:hAnsi="Times New Roman"/>
        </w:rPr>
        <w:t xml:space="preserve">obchodných spoločností poskytujúcich úvery a pôžičky (ďalej len „poskytovateľ úveru“) je nevyhnutné skúmať aj okolnosti a príčiny vzniku škody na ich majetku v dôsledku porušenia základných povinností ich zamestnancov vyplývajúcich </w:t>
      </w:r>
      <w:r w:rsidRPr="00BB4109">
        <w:rPr>
          <w:rFonts w:ascii="Times New Roman" w:hAnsi="Times New Roman"/>
        </w:rPr>
        <w:lastRenderedPageBreak/>
        <w:t>zo zákona (Zákonník práce) alebo zo zmluvy (napríklad pracovnej zmluvy)  preskúmať pravdivosť údajov prezentovaných účastníkom právneho vzťahu v návrhu (žiadosti) o uzatvorenie úverovej zmluvy.</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Podľa § 7 ods. 1 zákona o spotrebiteľských úveroch veriteľ (fyzická osoba alebo  právnická osoba, ktorá ponúka alebo poskytuje spotrebiteľský úver v rámci svojej podnikateľskej činnosti) je pred uzavretím zmluvy o spotrebiteľskom úvere alebo pred zmenou tejto zmluvy spočívajúcej v navýšení spotrebiteľského úveru </w:t>
      </w:r>
      <w:r w:rsidRPr="00BB4109">
        <w:rPr>
          <w:rFonts w:ascii="Times New Roman" w:hAnsi="Times New Roman"/>
          <w:u w:val="single"/>
        </w:rPr>
        <w:t>povinný posúdiť</w:t>
      </w:r>
      <w:r w:rsidRPr="00BB4109">
        <w:rPr>
          <w:rFonts w:ascii="Times New Roman" w:hAnsi="Times New Roman"/>
        </w:rPr>
        <w:t xml:space="preserve"> s odbornou starostlivosťou </w:t>
      </w:r>
      <w:r w:rsidRPr="00BB4109">
        <w:rPr>
          <w:rFonts w:ascii="Times New Roman" w:hAnsi="Times New Roman"/>
          <w:u w:val="single"/>
        </w:rPr>
        <w:t>schopnosť</w:t>
      </w:r>
      <w:r w:rsidRPr="00BB4109">
        <w:rPr>
          <w:rFonts w:ascii="Times New Roman" w:hAnsi="Times New Roman"/>
        </w:rPr>
        <w:t xml:space="preserve"> spotrebiteľa splácať spotrebiteľský úver, pričom berie do úvahy  najmä dobu, na ktorú sa poskytuje  spotrebiteľský úver, výšku spotrebiteľského úveru, </w:t>
      </w:r>
      <w:r w:rsidRPr="00BB4109">
        <w:rPr>
          <w:rFonts w:ascii="Times New Roman" w:hAnsi="Times New Roman"/>
          <w:u w:val="single"/>
        </w:rPr>
        <w:t>príjem</w:t>
      </w:r>
      <w:r w:rsidRPr="00BB4109">
        <w:rPr>
          <w:rFonts w:ascii="Times New Roman" w:hAnsi="Times New Roman"/>
        </w:rPr>
        <w:t xml:space="preserve">  spotrebiteľa a prípadne aj účel  spotrebiteľského úveru.</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Podľa § 7 ods. 2  zákona o spotrebiteľských úveroch spotrebiteľ je povinný poskytnúť veriteľovi </w:t>
      </w:r>
      <w:r w:rsidRPr="00BB4109">
        <w:rPr>
          <w:rFonts w:ascii="Times New Roman" w:hAnsi="Times New Roman"/>
          <w:u w:val="single"/>
        </w:rPr>
        <w:t>na jeho žiadosť</w:t>
      </w:r>
      <w:r w:rsidRPr="00BB4109">
        <w:rPr>
          <w:rFonts w:ascii="Times New Roman" w:hAnsi="Times New Roman"/>
        </w:rPr>
        <w:t xml:space="preserve"> úplné, presné a pravdivé údaje potrebné na </w:t>
      </w:r>
      <w:r w:rsidRPr="00BB4109">
        <w:rPr>
          <w:rFonts w:ascii="Times New Roman" w:hAnsi="Times New Roman"/>
          <w:u w:val="single"/>
        </w:rPr>
        <w:t>posúdenie schopnosti</w:t>
      </w:r>
      <w:r w:rsidRPr="00BB4109">
        <w:rPr>
          <w:rFonts w:ascii="Times New Roman" w:hAnsi="Times New Roman"/>
        </w:rPr>
        <w:t xml:space="preserve"> spotrebiteľa splácať spotrebiteľský úver; tým nie je dotknuté </w:t>
      </w:r>
      <w:r w:rsidRPr="00BB4109">
        <w:rPr>
          <w:rFonts w:ascii="Times New Roman" w:hAnsi="Times New Roman"/>
          <w:u w:val="single"/>
        </w:rPr>
        <w:t>právo veriteľa využívať informácie</w:t>
      </w:r>
      <w:r w:rsidRPr="00BB4109">
        <w:rPr>
          <w:rFonts w:ascii="Times New Roman" w:hAnsi="Times New Roman"/>
        </w:rPr>
        <w:t xml:space="preserve"> o spotrebiteľovi z príslušnej databázy za podmienok ustan</w:t>
      </w:r>
      <w:r>
        <w:rPr>
          <w:rFonts w:ascii="Times New Roman" w:hAnsi="Times New Roman"/>
        </w:rPr>
        <w:t>ovených osobitným zákonom (napríklad</w:t>
      </w:r>
      <w:r w:rsidRPr="00BB4109">
        <w:rPr>
          <w:rFonts w:ascii="Times New Roman" w:hAnsi="Times New Roman"/>
        </w:rPr>
        <w:t xml:space="preserve"> § 92a zákona č. 483/2001 Z. z. o bankách a o zmene a doplnení niektorých zákonov v znení neskorších predpisov).</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Preverenie tvrdení uvádzaných žiadateľmi o úver týkajúcich sa zamestnávateľa, výkonu inej zárobkovej činnosti  a čistého mesačného príjmu   nepredstavuje neobvyklé úsilie zo  strany poskytovateľa úveru, pri vynaložení ktorého by sa mohol vyhnúť neistému obchodu a v konečnom  dôsledku i finančnej strate.</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Na preverenie údajov uvádzaných žiadateľom o úver poskytovateľ úveru často  nevynaloží ani minimálne úsilie napriek tomu, že jeho úverové podmienky mu takýto postup umožňujú. Poskytovatelia úverov spravidla  neoverujú ani vierohodnosť a pravdivosť telefonického kontaktu na  (údajného)  zamestnávateľa žiadateľa o úver, ktoré im žiadateľ poskytol, a ktoré by bolo možné bez ťažkostí overiť bezprostredne  pred schválením a uzatvorením zmluvy o úvere. </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Poskytovatelia úverov  nepreverujú  ani to, či v obchodnom registri príslušného súdu je zapísaná právnická osoba, ktorá mala ako zamestnávateľ potvrdenie vystaviť. Inak by  zistili, že ide o fiktívnu (vymyslenú) obchodnú spoločnosť, ktorá v obchodnom registri nie je zapísaná, resp.  už niekoľko rokov nevykonáva podnikateľskú činnosť.</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 „Obyčajné klamstvo“ zo strany dlžníka pri uzatváraní zmluvy nie je možné generalizovane považovať za  „uvádzanie do omylu“ (veriteľa) vtedy, keď tvrdenie konkrétnej osoby (žiadateľa o úver) podlieha preskúmavaniu a keď okrem lživého tvrdenia </w:t>
      </w:r>
      <w:r w:rsidRPr="00BB4109">
        <w:rPr>
          <w:rFonts w:ascii="Times New Roman" w:hAnsi="Times New Roman"/>
          <w:u w:val="single"/>
        </w:rPr>
        <w:t>nebolo takou osobou urobené nič</w:t>
      </w:r>
      <w:r w:rsidRPr="00BB4109">
        <w:rPr>
          <w:rFonts w:ascii="Times New Roman" w:hAnsi="Times New Roman"/>
        </w:rPr>
        <w:t>, čím by sa preskúmavanie tvrdenia sťažilo. Ak má  osoba vykonávajúca majetkovú dispozíciu (v danom  prípade obchodná spoločnosť ako veriteľ – poskytovateľ úveru) možnosť  preskúmať tvrdenia iných osôb, a to prostriedkami  bežne dostupnými a bežne použiteľnými (navyše niekedy upravenými v zmluvných  podmienkach poskytovateľa úveru), nie je možné len samotné uvedenie nepravdy bez ďalšieho  považovať za „uvádzanie do omylu“  ako znak objektívnej stránky skutkovej podstaty trestného činu podvodu  podľa  §  221  Trestného   zákona,  resp.  trestného  činu  úverového  podvodu podľa § 222 Trestného zákona (špeciálny trestný čin vo vzťahu k trestnému činu podvodu podľa § 221 Trestného zákona).</w:t>
      </w:r>
    </w:p>
    <w:p w:rsidR="009C0DB6" w:rsidRPr="00BB4109" w:rsidRDefault="009C0DB6" w:rsidP="009C0DB6">
      <w:pPr>
        <w:jc w:val="both"/>
        <w:rPr>
          <w:rFonts w:ascii="Times New Roman" w:hAnsi="Times New Roman"/>
        </w:rPr>
      </w:pPr>
    </w:p>
    <w:p w:rsidR="009C0DB6" w:rsidRDefault="009C0DB6" w:rsidP="009C0DB6">
      <w:pPr>
        <w:jc w:val="both"/>
        <w:rPr>
          <w:rFonts w:ascii="Times New Roman" w:hAnsi="Times New Roman"/>
        </w:rPr>
      </w:pPr>
      <w:r w:rsidRPr="00BB4109">
        <w:rPr>
          <w:rFonts w:ascii="Times New Roman" w:hAnsi="Times New Roman"/>
        </w:rPr>
        <w:lastRenderedPageBreak/>
        <w:tab/>
        <w:t xml:space="preserve">Podľa iného právneho názoru môže vzniknúť situácia, že konkrétna osoba oprávnená konať v mene veriteľa (poskytovateľa úveru) pri  uzatváraní zmluvy nekonala v rozpore s ustanovením § 415 Občianskeho zákonníka, nakoľko  spotrebiteľovi (dlžníkovi) nespôsobila žiadnu škodu na jeho právach, záujmoch a statkoch, ale práve naopak, spotrebiteľ (dlžník) spôsobil škodu veriteľovi (poskytovateľovi úveru). V takomto prípade je potrebné v súvislosti s trestnoprávnou zodpovednosťou dlžníka dôsledne vyhodnocovať aj uplatnenie </w:t>
      </w:r>
      <w:r w:rsidRPr="00BB4109">
        <w:rPr>
          <w:rFonts w:ascii="Times New Roman" w:hAnsi="Times New Roman"/>
          <w:u w:val="single"/>
        </w:rPr>
        <w:t>tzv. zakročovacej preventívnej povinnosti,</w:t>
      </w:r>
      <w:r w:rsidRPr="00BB4109">
        <w:rPr>
          <w:rFonts w:ascii="Times New Roman" w:hAnsi="Times New Roman"/>
        </w:rPr>
        <w:t xml:space="preserve"> ktorá  je uložená všetkým ohrozeným fyzickým a právnickým osobám, a to bez ohľadu na to, či sa jedná o vážne ohrozenie, keďže táto osoba nezakročila na ochranu majetku spoločnosti a neurobila opatrenia potrebné na odvrátenie  škody, a to aj napriek tomu, že v rámci záväzkovo – právneho vzťahu, do ktorého vstupovala, mohla odôvodnene predpokladať určité ohrozenie </w:t>
      </w:r>
      <w:r>
        <w:rPr>
          <w:rFonts w:ascii="Times New Roman" w:hAnsi="Times New Roman"/>
        </w:rPr>
        <w:t xml:space="preserve">alebo </w:t>
      </w:r>
      <w:r w:rsidRPr="00BB4109">
        <w:rPr>
          <w:rFonts w:ascii="Times New Roman" w:hAnsi="Times New Roman"/>
        </w:rPr>
        <w:t xml:space="preserve">vznik škody. Ak  škodca (dlžník) spôsobil škodu úmyselne a poškodený (poskytovateľ úveru – veriteľ) ju spoluzavinil z nedbanlivosti, bude spravidla nedbanlivosť (aj vedomá) poškodeného v pomere k úmyselnému zavineniu škodcu tak nepatrná, že k nej nebude možné prihliadať, t. j. nedbanlivosť sa v takomto prípade neberie do úvahy ako dôvod  rozdelenia bremena znášať škodu aj poškodeným. „Ad hoc“ by tak bola nedbanlivosť osoby oprávnenej konať v mene veriteľa „konzumovaná“ úmyslom spotrebiteľa, ktorý by bol povinný uhradiť vzniknutú škodu v celom rozsahu aj  napriek tomu, že poškodený nesplnil tzv. zakročovaciu  preventívnu povinnosť. </w:t>
      </w:r>
    </w:p>
    <w:p w:rsidR="009C0DB6"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Z trestnoprávneho hľadiska úmyselné uvádzanie nepravdivých skutočností za účelom uviesť iného  do omylu sa nemôže stať nespôsobilým oklamať poškodeného len z dôvodu jeho</w:t>
      </w:r>
      <w:r>
        <w:rPr>
          <w:rFonts w:ascii="Times New Roman" w:hAnsi="Times New Roman"/>
        </w:rPr>
        <w:t xml:space="preserve"> </w:t>
      </w:r>
      <w:r w:rsidRPr="00BB4109">
        <w:rPr>
          <w:rFonts w:ascii="Times New Roman" w:hAnsi="Times New Roman"/>
        </w:rPr>
        <w:t>nedbanlivostného omisívneho konania. S týmto právnym názorom je možné podľa niektorých prokurátorov sa stotožniť za predpokladu výlučne formálneho chápania trestného činu, bez ohľadu na jeho materiálnu stránku.</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Podľa ďalšieho právneho názoru podriadených prokurátorov  v prípade, ak poškodený (poskytovateľ úveru) hrubo poruší obvyklú mieru opatrnosti štandardne vyžadovanú a dodržiavanú v právnych vzťahoch, v ktorých takýto subjekt pôsobí, z hľadiska určenia trestnoprávnej zodpovednosti dlžníka nie je namieste rozlišovať, či páchateľ (dlžník) mal svojím konaním spáchať prečin, resp. zločin alebo obzvlášť závažný zločin úverového podvodu podľa § 222 Trestného zákona. Pokiaľ nedodržanie obvyklej miery opatrnosti účastníkom súkromno-právneho vzťahu by podľa vyššie uvedených právnych úvah vylúčilo záver o existencii zákonných znakov trestného činu úverového podvodu vo všeobecnosti z hľadiska naplnenia obligatórneho znaku základnej skutkovej podstaty „uvedenie do omylu“, nie je možné pri jeho absencii vyvodzovať trestnoprávnu zodpovednosť ani v súvislosti so znakmi kvalifikovaných skutkových podstát trestného činu úverového podvodu.  Trestnoprávna zodpovednosť páchateľa by sa teda nemala určovať v závislosti od výšky škody spôsobenej  poskytovateľovi úveru, keďže v prípade, ak dlžník požiadal o úver v takej výške, že jeho konanie by z hľadiska spôsobenej škody smerovalo k naplneniu skutkovej podstaty zločinu alebo obzvlášť závažného zločinu úverového podvodu, je zachovanie obvyklej miery opatrnosti v činnosti pracovníka poskytovateľa úveru vzhľadom na vysokú mieru rizika úveru ešte relevantnejšie. </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Niektorí podriadení prokurátori poukázali na dva podstatné  fenomény analyzovanej problematiky.</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Prvý  sa týka  fenoménu obvyklej miery opatrnosti (na strane veriteľa) a druhý kvalitatívnej stránky klamlivej informácie, teda jej spôsobilosti vyvolať u osoby s majetkovou dispozíciou stav omylu. </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Pr>
          <w:rFonts w:ascii="Times New Roman" w:hAnsi="Times New Roman"/>
        </w:rPr>
        <w:t>Obidva</w:t>
      </w:r>
      <w:r w:rsidRPr="00BB4109">
        <w:rPr>
          <w:rFonts w:ascii="Times New Roman" w:hAnsi="Times New Roman"/>
        </w:rPr>
        <w:t xml:space="preserve"> fenomény navzájom súvisia, ale napriek tomu v rámci trestného konania je potrebné ich diferencovať.</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V prípravnom konaní sa musí dokazovať aj to, či informácie poskytnuté žiadateľom </w:t>
      </w:r>
      <w:r>
        <w:rPr>
          <w:rFonts w:ascii="Times New Roman" w:hAnsi="Times New Roman"/>
        </w:rPr>
        <w:t xml:space="preserve">o úver </w:t>
      </w:r>
      <w:r w:rsidRPr="00BB4109">
        <w:rPr>
          <w:rFonts w:ascii="Times New Roman" w:hAnsi="Times New Roman"/>
        </w:rPr>
        <w:t xml:space="preserve">sú takého charakteru, že budú spôsobilé omyl u veriteľa vyvolať. Takéto informácie sa musia týkať okolnosti podstatnej pre rozhodnutie veriteľa úver poskytnúť (poškodený by sa mal zrejme vyjadriť v tom zmysle, či v situácii, ak by mu bola poskytnutá úplne pravdivá informácia, by bol úver z jeho strany poskytnutý a v akej výške). Je preto potrebné vyhodnocovať a diferencovať medzi „obyčajným“ klamstvom a klamstvom spôsobilým vyvolať u osoby s majetkovou dispozíciou omyl. Deklarovanie klamlivej informácie  formálne zodpovedá kvalifikačnému znaku uvedenia do omylu len vtedy, </w:t>
      </w:r>
      <w:r w:rsidRPr="00BB4109">
        <w:rPr>
          <w:rFonts w:ascii="Times New Roman" w:hAnsi="Times New Roman"/>
          <w:u w:val="single"/>
        </w:rPr>
        <w:t>ak sa týka okolnosti</w:t>
      </w:r>
      <w:r w:rsidRPr="00BB4109">
        <w:rPr>
          <w:rFonts w:ascii="Times New Roman" w:hAnsi="Times New Roman"/>
        </w:rPr>
        <w:t xml:space="preserve"> </w:t>
      </w:r>
      <w:r w:rsidRPr="00BB4109">
        <w:rPr>
          <w:rFonts w:ascii="Times New Roman" w:hAnsi="Times New Roman"/>
          <w:u w:val="single"/>
        </w:rPr>
        <w:t>podstatnej pre rozhodnutie úver poskytnúť</w:t>
      </w:r>
      <w:r w:rsidRPr="00BB4109">
        <w:rPr>
          <w:rFonts w:ascii="Times New Roman" w:hAnsi="Times New Roman"/>
        </w:rPr>
        <w:t>.</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Spôsobilosť inak klamlivej informácie uviesť zmluvnú stranu – veriteľa do omylu sa musí posúdiť aj z hľadiska možnosti odvrátiť vznik škody dodržaním obvyklej miery opatrnosti. Pasivita zmluvnej strany – veriteľa, a teda nedodržanie jeho obvyklej miery opatrnosti má za následok nemožnosť určenia trestnoprávnej zodpovednosti pre prečin úverového podvodu podľa § 222 ods. 1 Trestného zákona. V takom prípade sám poškodený musí byť prinajmenšom uzrozumený s možnosťou vzniku škody, ktorej účinným a jemu dostupným spôsobom nezabránil.</w:t>
      </w:r>
    </w:p>
    <w:p w:rsidR="009C0DB6" w:rsidRPr="00BB4109" w:rsidRDefault="009C0DB6" w:rsidP="009C0DB6">
      <w:pPr>
        <w:jc w:val="both"/>
        <w:rPr>
          <w:rFonts w:ascii="Times New Roman" w:hAnsi="Times New Roman"/>
        </w:rPr>
      </w:pPr>
      <w:r w:rsidRPr="00BB4109">
        <w:rPr>
          <w:rFonts w:ascii="Times New Roman" w:hAnsi="Times New Roman"/>
        </w:rPr>
        <w:t xml:space="preserve"> </w:t>
      </w: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V prípade právnej relevancie týchto úvah je otázne, či možno určovať trestnoprávnu zodpovednosť aj za kvalifikované skutkové podstaty zločinu, resp. obzvlášť závažného zločinu úverového podvodu podľa § 222 ods. 3, ods. 4, ods. 5 Trestného zákona, keďže aplikácia okolností podmieňujúcich použitie vyššej trestnej sadzby v kvalifikovaných skutkových podstatách je možná len vtedy, ak sú súčasne  naplnené všetky zákonné znaky, teda aj znak uvedenia do omylu ako podstatný zákonný znak základnej skutkovej podstaty tohto trestného činu. So stúpajúcou hodnotou úveru by sa mala zvyšovať aj opatrnosť veriteľa pri rozhodovaní o jeho poskytnutí. Nebolo by preto vyvážené také hodnotenie situácie, keď na strane jednej sa nebude tolerovať pasivita veriteľa pri poskytovaní úveru s následkom spôsobenia malej škody a na strane druhej sa bude tolerovať pasivita veriteľa pri poskytovaní úverov vyššej majetkovej hodnoty. </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Týmito argumentmi chceli prokurátori zdôrazniť, že úvahy týkajúce sa nedodržania obvyklej miery opatrnosti je možné  striktne aplikovať iba v kontexte hodnotenia materiálnej stránky trestnosti činu, nie jej formálnej stránky v súvislosti s posudzovaním naplnenia zákonného znaku uvedenia do omylu. Je potrebné zdôrazniť, že ak žiadateľ o úver uviedol nepravdu o okolnosti podstatnej pre rozhodnutie úver poskytnúť, vždy má snahu uviesť veriteľa do omylu, čím napĺňa zákonný znak  základnej skutkovej podstaty trestného činu úverového podvodu. Rezignáciu veriteľa na svoju povinnosť zachovať obvyklú mieru opatrnosti možno hodnotiť iba ako jeden z aspektov materiálnej stránky trestnosti činu.</w:t>
      </w:r>
    </w:p>
    <w:p w:rsidR="009C0DB6" w:rsidRPr="00BB4109" w:rsidRDefault="009C0DB6" w:rsidP="009C0DB6">
      <w:pPr>
        <w:jc w:val="both"/>
        <w:rPr>
          <w:rFonts w:ascii="Times New Roman" w:hAnsi="Times New Roman"/>
        </w:rPr>
      </w:pPr>
      <w:r w:rsidRPr="00BB4109">
        <w:rPr>
          <w:rFonts w:ascii="Times New Roman" w:hAnsi="Times New Roman"/>
        </w:rPr>
        <w:t xml:space="preserve"> </w:t>
      </w:r>
    </w:p>
    <w:p w:rsidR="009C0DB6" w:rsidRDefault="009C0DB6" w:rsidP="009C0DB6">
      <w:pPr>
        <w:ind w:firstLine="708"/>
        <w:jc w:val="both"/>
        <w:rPr>
          <w:rFonts w:ascii="Times New Roman" w:hAnsi="Times New Roman"/>
        </w:rPr>
      </w:pPr>
      <w:r w:rsidRPr="00BB4109">
        <w:rPr>
          <w:rFonts w:ascii="Times New Roman" w:hAnsi="Times New Roman"/>
        </w:rPr>
        <w:t xml:space="preserve">Prokurátori odboru legislatívy a ústavného práva, prieskumného oddelenia, organizačného a kontrolného oddelenia, medzinárodného odboru a netrestného odboru Generálnej prokuratúry Slovenskej republiky a Úradu špeciálnej prokuratúry Generálnej prokuratúry Slovenskej republiky vyjadrili k tejto problematike taký názor, že ak by aj  žiadateľ o úver (dlžník) formálne svojím konaním naplnil zákonné znaky skutkovej podstaty trestného činu úverového podvodu podľa § 222 Trestného zákona, nemala by byť určená jeho </w:t>
      </w:r>
      <w:r w:rsidRPr="00BB4109">
        <w:rPr>
          <w:rFonts w:ascii="Times New Roman" w:hAnsi="Times New Roman"/>
        </w:rPr>
        <w:lastRenderedPageBreak/>
        <w:t>trestnoprávna zodpovednosť, pokiaľ  veriteľ alebo iná osoba oprávnená konať za veriteľa nekonala pri uzatváraní zmluvy s odbornou starostlivosťou.</w:t>
      </w:r>
    </w:p>
    <w:p w:rsidR="009C0DB6" w:rsidRPr="00BB4109" w:rsidRDefault="009C0DB6" w:rsidP="009C0DB6">
      <w:pPr>
        <w:ind w:firstLine="708"/>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Predložený návrh stanoviska generálneho prokurátora Slovenskej republiky korešponduje s právnym názorom podriadených prokurátorov a niektorých prokurátorov Generálnej prokuratúry Slovenskej republiky. </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Zároveň poukazujem aj na iný právny názor podriadených prokurátorov, podľa ktorého je možné trestne stíhať každého žiadateľa o úver, ktorý pri žiadosti o poskytnutie úveru uviedol veriteľovi nepravdivé údaje a ten mu napriek tomu úver poskytne.</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Ak poruší veriteľ (potencionálny poškodený) povinnosť uloženú v ustanovení § 7 ods. 1 zákona o spotrebiteľských úveroch</w:t>
      </w:r>
      <w:r>
        <w:rPr>
          <w:rFonts w:ascii="Times New Roman" w:hAnsi="Times New Roman"/>
        </w:rPr>
        <w:t>,</w:t>
      </w:r>
      <w:r w:rsidRPr="00BB4109">
        <w:rPr>
          <w:rFonts w:ascii="Times New Roman" w:hAnsi="Times New Roman"/>
        </w:rPr>
        <w:t xml:space="preserve"> je možné toto pochybenie zohľadniť pri ukladaní trestu, avšak nemožno porušenie tejto povinnosti zohľadniť pri aplikácii § 10 ods. 2 Trestného zákona, pretože nemožno za nezodpovedné konanie poškodeného vyviniť páchateľa, ktorý vedomý si následkov svojho konania deklaroval nepravdivé skutočnosti a sám svojím konaním inicioval spáchanie  trestného činu, nakoľko  prvotnou príčinou spáchania trestného činu bolo práve jeho konanie.</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Sankcia postihujúca veriteľa v takomto prípade vyplýva z ustanovenia § 11 ods. 2 zákona o spotrebiteľských úveroch</w:t>
      </w:r>
      <w:r>
        <w:rPr>
          <w:rFonts w:ascii="Times New Roman" w:hAnsi="Times New Roman"/>
        </w:rPr>
        <w:t>,</w:t>
      </w:r>
      <w:r w:rsidRPr="00BB4109">
        <w:rPr>
          <w:rFonts w:ascii="Times New Roman" w:hAnsi="Times New Roman"/>
        </w:rPr>
        <w:t xml:space="preserve"> podľa ktorého ak veriteľ nekonal s odbornou starostlivosťou podľa § 7 ods. 1, nie je oprávnený vyžadovať od spotrebiteľa jednorazové splatenie spotrebiteľského úveru. V prípade hrubého porušenia povinností podľa § 7 ods. 1 sa úver považuje za bezúročný  a bez poplatkov.  Za hrubé porušenie povinnosti podľa § 7 ods. 1 sa považuje </w:t>
      </w:r>
      <w:r w:rsidRPr="00BB4109">
        <w:rPr>
          <w:rFonts w:ascii="Times New Roman" w:hAnsi="Times New Roman"/>
          <w:u w:val="single"/>
        </w:rPr>
        <w:t>posudzovanie schopnosti</w:t>
      </w:r>
      <w:r w:rsidRPr="00BB4109">
        <w:rPr>
          <w:rFonts w:ascii="Times New Roman" w:hAnsi="Times New Roman"/>
        </w:rPr>
        <w:t xml:space="preserve"> splácať úver </w:t>
      </w:r>
      <w:r w:rsidRPr="00BB4109">
        <w:rPr>
          <w:rFonts w:ascii="Times New Roman" w:hAnsi="Times New Roman"/>
          <w:u w:val="single"/>
        </w:rPr>
        <w:t>veriteľom bez akýchkoľvek údajov</w:t>
      </w:r>
      <w:r w:rsidRPr="00BB4109">
        <w:rPr>
          <w:rFonts w:ascii="Times New Roman" w:hAnsi="Times New Roman"/>
        </w:rPr>
        <w:t xml:space="preserve"> o príjmoch, výdavkoch a rodinnom stave spotrebiteľa alebo bez  prihliadnutia na údaje z príslušnej databázy alebo registra </w:t>
      </w:r>
      <w:r w:rsidRPr="00BB4109">
        <w:rPr>
          <w:rFonts w:ascii="Times New Roman" w:hAnsi="Times New Roman"/>
          <w:u w:val="single"/>
        </w:rPr>
        <w:t>na účely posudzovania schopnosti spotrebiteľa</w:t>
      </w:r>
      <w:r w:rsidRPr="00BB4109">
        <w:rPr>
          <w:rFonts w:ascii="Times New Roman" w:hAnsi="Times New Roman"/>
        </w:rPr>
        <w:t xml:space="preserve"> splácať spotrebiteľský úver.</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r w:rsidRPr="00BB4109">
        <w:rPr>
          <w:rFonts w:ascii="Times New Roman" w:hAnsi="Times New Roman"/>
        </w:rPr>
        <w:tab/>
        <w:t xml:space="preserve">Vo vzťahu k zisťovaniu výšky škody ako následku trestného činu úverového podvodu podľa § 222 Trestného zákona sa  takmer všetci prokurátori vyjadrili tak, že ak veriteľ požadoval neprimerane vysokú odplatu za poskytnutie úveru (nad rámec kritérií uvedených v právnom poriadku Slovenskej republiky), orgány činné v trestnom konaní takúto neadekvátnu sumu nezahnú do výšky škody spôsobenej trestným činom dlžníka.  </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 xml:space="preserve">Rozdielna existencia právnych názorov a argumentácií prokurátorov v rámci celej Slovenskej republiky pri posudzovaní vyššie uvedených prípadov v súvislosti s poskytovaním úveru nebankovými subjektmi je dôvodom na vydanie stanoviska  generálneho prokurátora Slovenskej republiky (bod 1. predkladaného návrhu stanoviska), a to na návrh Komisie pre vydávanie záväzných stanovísk.   </w:t>
      </w:r>
    </w:p>
    <w:p w:rsidR="009C0DB6" w:rsidRPr="00BB4109" w:rsidRDefault="009C0DB6" w:rsidP="009C0DB6">
      <w:pPr>
        <w:jc w:val="both"/>
        <w:rPr>
          <w:rFonts w:ascii="Times New Roman" w:hAnsi="Times New Roman"/>
        </w:rPr>
      </w:pPr>
    </w:p>
    <w:p w:rsidR="009C0DB6" w:rsidRPr="00BB4109" w:rsidRDefault="009C0DB6" w:rsidP="009C0DB6">
      <w:pPr>
        <w:ind w:firstLine="708"/>
        <w:jc w:val="both"/>
        <w:rPr>
          <w:rFonts w:ascii="Times New Roman" w:hAnsi="Times New Roman"/>
        </w:rPr>
      </w:pPr>
      <w:r w:rsidRPr="00BB4109">
        <w:rPr>
          <w:rFonts w:ascii="Times New Roman" w:hAnsi="Times New Roman"/>
        </w:rPr>
        <w:t>Podľa § 11 ods. 1 zákona č. 153/2001 Z. z. o prokuratúre v znení neskorších predpisov generálny prokurátor Slovenskej republiky predkladá Komisii pre vydávanie záväzných stanovísk, tento návrh</w:t>
      </w:r>
    </w:p>
    <w:p w:rsidR="009C0DB6"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p>
    <w:p w:rsidR="009C0DB6" w:rsidRDefault="009C0DB6" w:rsidP="009C0DB6">
      <w:pPr>
        <w:jc w:val="center"/>
        <w:rPr>
          <w:rFonts w:ascii="Times New Roman" w:hAnsi="Times New Roman"/>
          <w:b/>
        </w:rPr>
      </w:pPr>
    </w:p>
    <w:p w:rsidR="009C0DB6" w:rsidRDefault="009C0DB6" w:rsidP="009C0DB6">
      <w:pPr>
        <w:jc w:val="center"/>
        <w:rPr>
          <w:rFonts w:ascii="Times New Roman" w:hAnsi="Times New Roman"/>
          <w:b/>
        </w:rPr>
      </w:pPr>
    </w:p>
    <w:p w:rsidR="009C0DB6" w:rsidRDefault="009C0DB6" w:rsidP="009C0DB6">
      <w:pPr>
        <w:jc w:val="center"/>
        <w:rPr>
          <w:rFonts w:ascii="Times New Roman" w:hAnsi="Times New Roman"/>
          <w:b/>
        </w:rPr>
      </w:pPr>
    </w:p>
    <w:p w:rsidR="009C0DB6" w:rsidRDefault="009C0DB6" w:rsidP="009C0DB6">
      <w:pPr>
        <w:jc w:val="center"/>
        <w:rPr>
          <w:rFonts w:ascii="Times New Roman" w:hAnsi="Times New Roman"/>
          <w:b/>
        </w:rPr>
      </w:pPr>
    </w:p>
    <w:p w:rsidR="009C0DB6" w:rsidRPr="00BB4109" w:rsidRDefault="009C0DB6" w:rsidP="009C0DB6">
      <w:pPr>
        <w:jc w:val="center"/>
        <w:rPr>
          <w:rFonts w:ascii="Times New Roman" w:hAnsi="Times New Roman"/>
          <w:b/>
        </w:rPr>
      </w:pPr>
      <w:r w:rsidRPr="00BB4109">
        <w:rPr>
          <w:rFonts w:ascii="Times New Roman" w:hAnsi="Times New Roman"/>
          <w:b/>
        </w:rPr>
        <w:lastRenderedPageBreak/>
        <w:t>s t a n o v i s k</w:t>
      </w:r>
      <w:r>
        <w:rPr>
          <w:rFonts w:ascii="Times New Roman" w:hAnsi="Times New Roman"/>
          <w:b/>
        </w:rPr>
        <w:t> </w:t>
      </w:r>
      <w:r w:rsidRPr="00BB4109">
        <w:rPr>
          <w:rFonts w:ascii="Times New Roman" w:hAnsi="Times New Roman"/>
          <w:b/>
        </w:rPr>
        <w:t>a:</w:t>
      </w:r>
    </w:p>
    <w:p w:rsidR="009C0DB6" w:rsidRPr="00BB4109" w:rsidRDefault="009C0DB6" w:rsidP="009C0DB6">
      <w:pPr>
        <w:jc w:val="both"/>
        <w:rPr>
          <w:rFonts w:ascii="Times New Roman" w:hAnsi="Times New Roman"/>
        </w:rPr>
      </w:pPr>
    </w:p>
    <w:p w:rsidR="009C0DB6" w:rsidRPr="00BB4109" w:rsidRDefault="009C0DB6" w:rsidP="009C0DB6">
      <w:pPr>
        <w:jc w:val="both"/>
        <w:rPr>
          <w:rFonts w:ascii="Times New Roman" w:hAnsi="Times New Roman"/>
        </w:rPr>
      </w:pPr>
    </w:p>
    <w:p w:rsidR="009C0DB6" w:rsidRPr="00BB4109" w:rsidRDefault="009C0DB6" w:rsidP="009C0DB6">
      <w:pPr>
        <w:numPr>
          <w:ilvl w:val="0"/>
          <w:numId w:val="1"/>
        </w:numPr>
        <w:jc w:val="both"/>
        <w:rPr>
          <w:rFonts w:ascii="Times New Roman" w:hAnsi="Times New Roman"/>
        </w:rPr>
      </w:pPr>
      <w:r w:rsidRPr="00BB4109">
        <w:rPr>
          <w:rFonts w:ascii="Times New Roman" w:hAnsi="Times New Roman"/>
          <w:b/>
        </w:rPr>
        <w:t>Ak žiadateľ o úver (dlžník) svojím konaním formálne naplní zákonné znaky skutkovej podstaty trestného činu úverového podvodu podľa § 222 Trestného zákona, nie je dôvod na určenie jeho trestnoprávnej zodpovednosti v prípade, ak veriteľ (poskytovateľ úveru) sa sám svojou neopatrnosťou dostal do situácie, že  uzavrel obchod, ktorý bol pre neho v konečnom dôsledku nevýhodný len preto, že nedodržal ani elementárnu mieru opatrnosti v právnych vzťahoch</w:t>
      </w:r>
      <w:r w:rsidRPr="00BB4109">
        <w:rPr>
          <w:rFonts w:ascii="Times New Roman" w:hAnsi="Times New Roman"/>
        </w:rPr>
        <w:t>.</w:t>
      </w:r>
    </w:p>
    <w:p w:rsidR="009C0DB6" w:rsidRPr="00BB4109" w:rsidRDefault="009C0DB6" w:rsidP="009C0DB6">
      <w:pPr>
        <w:jc w:val="both"/>
        <w:rPr>
          <w:rFonts w:ascii="Times New Roman" w:hAnsi="Times New Roman"/>
        </w:rPr>
      </w:pPr>
    </w:p>
    <w:p w:rsidR="009C0DB6" w:rsidRPr="00BB4109" w:rsidRDefault="009C0DB6" w:rsidP="009C0DB6">
      <w:pPr>
        <w:numPr>
          <w:ilvl w:val="0"/>
          <w:numId w:val="1"/>
        </w:numPr>
        <w:jc w:val="both"/>
        <w:rPr>
          <w:rFonts w:ascii="Times New Roman" w:hAnsi="Times New Roman"/>
          <w:b/>
        </w:rPr>
      </w:pPr>
      <w:r w:rsidRPr="00BB4109">
        <w:rPr>
          <w:rFonts w:ascii="Times New Roman" w:hAnsi="Times New Roman"/>
          <w:b/>
        </w:rPr>
        <w:t>Ak veriteľ požaduje odplatu za poskytnutie úveru, ktorá je v rozpore so zákonom, orgány činné v trestnom konaní tieto finančné prostriedky nezahrnú do škody  (a  jej  výšky)  ako  následku trestného činu úverového podvodu podľa § 222 Trestného zákona.</w:t>
      </w:r>
    </w:p>
    <w:p w:rsidR="009C0DB6" w:rsidRPr="00BB4109" w:rsidRDefault="009C0DB6" w:rsidP="009C0DB6">
      <w:pPr>
        <w:jc w:val="both"/>
        <w:rPr>
          <w:rFonts w:ascii="Times New Roman" w:hAnsi="Times New Roman"/>
          <w:b/>
        </w:rPr>
      </w:pPr>
    </w:p>
    <w:p w:rsidR="009C0DB6" w:rsidRPr="00BB4109" w:rsidRDefault="009C0DB6" w:rsidP="009C0DB6">
      <w:pPr>
        <w:jc w:val="both"/>
        <w:rPr>
          <w:rFonts w:ascii="Times New Roman" w:hAnsi="Times New Roman"/>
        </w:rPr>
      </w:pPr>
    </w:p>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Default="009C0DB6"/>
    <w:p w:rsidR="009C0DB6" w:rsidRPr="009C0DB6" w:rsidRDefault="009C0DB6" w:rsidP="009C0DB6">
      <w:pPr>
        <w:rPr>
          <w:rFonts w:ascii="Times New Roman" w:hAnsi="Times New Roman"/>
          <w:b/>
          <w:szCs w:val="24"/>
        </w:rPr>
      </w:pPr>
    </w:p>
    <w:p w:rsidR="009C0DB6" w:rsidRPr="009C0DB6" w:rsidRDefault="009C0DB6" w:rsidP="009C0DB6">
      <w:pPr>
        <w:rPr>
          <w:rFonts w:ascii="Times New Roman" w:hAnsi="Times New Roman"/>
          <w:b/>
          <w:szCs w:val="24"/>
          <w:lang w:eastAsia="sk-SK"/>
        </w:rPr>
      </w:pPr>
    </w:p>
    <w:p w:rsidR="009C0DB6" w:rsidRPr="009C0DB6" w:rsidRDefault="009C0DB6" w:rsidP="009C0DB6">
      <w:pPr>
        <w:jc w:val="center"/>
        <w:rPr>
          <w:rFonts w:ascii="Times New Roman" w:hAnsi="Times New Roman"/>
          <w:b/>
          <w:szCs w:val="24"/>
          <w:lang w:eastAsia="sk-SK"/>
        </w:rPr>
      </w:pPr>
      <w:r w:rsidRPr="009C0DB6">
        <w:rPr>
          <w:rFonts w:ascii="Times New Roman" w:hAnsi="Times New Roman"/>
          <w:b/>
          <w:szCs w:val="24"/>
          <w:lang w:eastAsia="sk-SK"/>
        </w:rPr>
        <w:t>O d ô v o d n e n i e :</w:t>
      </w:r>
    </w:p>
    <w:p w:rsidR="009C0DB6" w:rsidRPr="009C0DB6" w:rsidRDefault="009C0DB6" w:rsidP="009C0DB6">
      <w:pPr>
        <w:ind w:left="851"/>
        <w:jc w:val="both"/>
        <w:rPr>
          <w:rFonts w:ascii="Times New Roman" w:hAnsi="Times New Roman"/>
          <w:szCs w:val="24"/>
          <w:lang w:eastAsia="sk-SK"/>
        </w:rPr>
      </w:pPr>
    </w:p>
    <w:p w:rsidR="009C0DB6" w:rsidRPr="009C0DB6" w:rsidRDefault="009C0DB6" w:rsidP="009C0DB6">
      <w:pPr>
        <w:ind w:left="851"/>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 xml:space="preserve">Prokurátori trestného odboru Generálnej prokuratúry Slovenskej republiky v rámci  svojej  činnosti zistili, že skutky posudzované ako trestný čin úverového podvodu podľa § 222 Trestného zákona v súvislosti s poskytovaním úverov osobám od certifikovaných poskytovateľov sú hodnotené rôzne, najmä s poukazom na obsah a charakter konania samotného poškodeného (veriteľa) pri poskytovaní úveru.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b/>
          <w:szCs w:val="24"/>
          <w:lang w:eastAsia="sk-SK"/>
        </w:rPr>
      </w:pPr>
      <w:r w:rsidRPr="009C0DB6">
        <w:rPr>
          <w:rFonts w:ascii="Times New Roman" w:hAnsi="Times New Roman"/>
          <w:b/>
          <w:szCs w:val="24"/>
          <w:lang w:eastAsia="sk-SK"/>
        </w:rPr>
        <w:t>K bodu 1:</w:t>
      </w:r>
    </w:p>
    <w:p w:rsidR="009C0DB6" w:rsidRPr="009C0DB6" w:rsidRDefault="009C0DB6" w:rsidP="009C0DB6">
      <w:pPr>
        <w:ind w:firstLine="708"/>
        <w:jc w:val="both"/>
        <w:rPr>
          <w:rFonts w:ascii="Times New Roman" w:hAnsi="Times New Roman"/>
          <w:b/>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Trestného činu (prečinu) úverového podvodu podľa § 222 ods. 1 Trestného zákona  sa dopustí ten, kto vyláka od iného úver alebo zabezpečenie úveru tým, že ho uvedenie do omylu v otázke splnenia podmienok na poskytnutie úveru alebo na splácanie úveru, a tak mu spôsobí malú škodu.</w:t>
      </w:r>
    </w:p>
    <w:p w:rsidR="009C0DB6" w:rsidRPr="009C0DB6" w:rsidRDefault="009C0DB6" w:rsidP="009C0DB6">
      <w:pPr>
        <w:jc w:val="both"/>
        <w:rPr>
          <w:rFonts w:ascii="Times New Roman" w:hAnsi="Times New Roman"/>
          <w:b/>
          <w:szCs w:val="24"/>
          <w:lang w:eastAsia="sk-SK"/>
        </w:rPr>
      </w:pPr>
      <w:r w:rsidRPr="009C0DB6">
        <w:rPr>
          <w:rFonts w:ascii="Times New Roman" w:hAnsi="Times New Roman"/>
          <w:b/>
          <w:szCs w:val="24"/>
          <w:lang w:eastAsia="sk-SK"/>
        </w:rPr>
        <w:tab/>
      </w: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Trestného činu (zločinu) úverového podvodu podľa § 222 ods. 1, ods. 3 Trestného zákona sa dopustí (aj) ten, kto vyláka od iného úver alebo zabezpečenie úveru tým, že ho uvedie do omylu v otázke splnenia podmienok na poskytnutie úveru alebo na splácanie úveru, a tak mu spôsobí väčšiu škodu alebo spácha tento čin z osobitného motívu alebo závažnejším spôsobom konania.</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Trestného činu (zločinu) úverového podvodu podľa § 222 ods. 1, ods. 4 Trestného zákona sa dopustí (aj) ten, kto vyláka od iného úver alebo zabezpečenie úveru tým, že ho uvedie do omylu v otázke splnenia podmienok na poskytnutie úveru alebo na splácanie úveru, a tak mu spôsobí značnú škodu.</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Trestného činu (obzvlášť závažného zločinu) úverového podvodu podľa § 222 ods. 1, ods. 5 Trestného zákona sa dopustí (aj) ten, kto vyláka od iného úver alebo zabezpečenie úveru tým, že ho uvedie do omylu v otázke splnenia podmienok na poskytnutie úveru alebo na splácanie úveru, a tak mu spôsobí škodu veľkého rozsahu alebo spácha tento čin ako člen nebezpečného zoskupenia alebo za krízovej situácie.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Úver sa poskytuje na základe zmluvy o úvere (§ 497 až 507 Obchodného zákonníka) a zmluvy o spotrebiteľskom úvere /zákon č. 129/2010 Z. z. o spotrebiteľských úveroch a o iných úveroch a pôžičkách pre spotrebiteľov a o zmene a doplnení niektorých zákonov v znení neskorších predpisov v znení do 31. decembra 2015 (ďalej len „zákon o spotrebiteľských úveroch“)/.</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Podľa § 497 Obchodného zákonníka zmluvou o úvere sa zaväzuje veriteľ, že na požiadanie dlžníka poskytne v jeho prospech peňažné prostriedky do určitej sumy, a dlžník sa zaväzuje poskytnuté peňažné prostriedky vrátiť a zaplatiť úroky.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Podľa § 1 ods. 2 zákona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možno poskytnúť len bezhotovostným prevodom finančných prostriedkov na platobný účet </w:t>
      </w:r>
      <w:r w:rsidRPr="009C0DB6">
        <w:rPr>
          <w:rFonts w:ascii="Times New Roman" w:hAnsi="Times New Roman"/>
          <w:szCs w:val="24"/>
          <w:lang w:eastAsia="sk-SK"/>
        </w:rPr>
        <w:lastRenderedPageBreak/>
        <w:t>spotrebiteľa, poštovým poukazom, ktorého adresátom je spotrebiteľ alebo platobným prostriedkom vydaným  na meno spotrebiteľa; tým nie je dotknuté  bezhotovostné  poskytnutie viazaného spotrebiteľského úveru podľa § 15 alebo poskytnutie spotrebiteľského úveru bezhotovostne na splatenie iného úveru alebo úverov úhradou veriteľovi oprávnenému poskytovať úver podľa tohto zákona alebo osobitného predpisu. Spotrebiteľským úverom sú aj mladomanželský úver podľa osobitného predpisu, niektoré stavebné úvery a iné úvery podľa osobitného predpisu a nezabezpečené úvery poskytované spotrebiteľom na účely rekonštrukcie nehnuteľnosti určenej na bývanie, pričom ustanovenia osobitných predpisov týkajúce sa poskytovania týchto úverov tým nie sú dotknuté; obmedzenie hornej hranice výšky úveru podľa odseku 3 písm. f) sa na tieto úvery nevzťahuje.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V ustanovení § 1 ods. 3 zákona o spotrebiteľských úveroch je negatívne vymedzenie, t. j. čo spotrebiteľským úverom nie je.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Podľa § 1 ods. 3 zákona o spotrebiteľských úveroch spotrebiteľským úverom nie sú:</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 xml:space="preserve">hypotekárny úver a komunálny úver podľa osobitného predpisu, </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na bývanie podľa všeobecného predpisu o úveroch na bývanie,</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zabezpečený záložným právom k nehnuteľnosti,</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ktorého účelom je nadobudnutie alebo zachovanie vlastníckych práv k nehnuteľnosti alebo výstavba nehnuteľnosti,</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ktorého účelom je splatenie úverov na základe zmlúv uvedených v písmenách a) až d),</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 xml:space="preserve">úver, ktorého výška je menej ako 100 eur a viac ako 75 000 eur; ak je na rovnaký alebo obdobný účel uzavretých v období 12 mesiacov viac zmlúv o úvere medzi tým istým veriteľom a spotrebiteľom, súhrn všetkých zmlúv o úvere sa považuje za jediný spotrebiteľský úver podľa tohto zákona, </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nájom podľa Občianskeho zákonníka, ak v zmluve o nájme nie je ustanovená povinnosť kúpy predmetu zmluvy po uplynutí určitej doby,</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formou povoleného prečerpania, ktorý sa musí splatiť do jedného mesiaca, ak v § 4 ods. 14 nie je ustanovené inak,</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bez úroku a bez ďalších poplatkov,</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ktorý poskytuje zamestnávateľ svojim zamestnancom z vlastných zdrojov bez úroku alebo s ročnou percentuálnou mierou nákladov nižšou, ako prevláda na finančnom trhu, a ktorý sa neponúka verejne,</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poskytovaný na základe zmluvy, ktorá je uzavretá na základe rozhodnutia súdu alebo iného orgánu ako výsledok vyriešenia sporu na súde alebo pred iným orgánom,</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ktorý sa musí splatiť v lehote nepresahujúcej tri mesiace,</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podľa osobitných predpisov,</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bez poplatkov týkajúci sa odloženej platby existujúceho dlhu,</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na zabezpečenie ktorého sa od spotrebiteľa vyžaduje, aby ako zábezpeku uložil do úschovy veriteľa hnuteľnú vec a zodpovednosť spotrebiteľa sa obmedzuje výlučne na túto založenú hnuteľnú vec,</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 xml:space="preserve">úver poskytovaný na účely podľa osobitných predpisov pre obmedzený okruh osôb vo verejnom záujme a za úrokové sadzby nižšie ako tie, ktoré prevládajú na finančnom trhu, alebo bezúročný úver, alebo za iných podmienok, ktoré sú pre spotrebiteľa výhodnejšie ako tie, ktoré prevládajú na finančnom trhu, a za úrokové sadzby, ktoré nie sú vyššie ako úrokové sadzby prevládajúce na finančnom trhu, </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t>úver, ktorého účelom je financovanie sústavného poskytovania služieb alebo dodávanie tovaru rovnakého druhu, ktorý spotrebiteľ spláca počas poskytovania služieb alebo dodávania tovaru formou splátok,</w:t>
      </w:r>
    </w:p>
    <w:p w:rsidR="009C0DB6" w:rsidRPr="009C0DB6" w:rsidRDefault="009C0DB6" w:rsidP="009C0DB6">
      <w:pPr>
        <w:numPr>
          <w:ilvl w:val="0"/>
          <w:numId w:val="3"/>
        </w:numPr>
        <w:jc w:val="both"/>
        <w:rPr>
          <w:rFonts w:ascii="Times New Roman" w:hAnsi="Times New Roman"/>
          <w:szCs w:val="24"/>
          <w:lang w:eastAsia="sk-SK"/>
        </w:rPr>
      </w:pPr>
      <w:r w:rsidRPr="009C0DB6">
        <w:rPr>
          <w:rFonts w:ascii="Times New Roman" w:hAnsi="Times New Roman"/>
          <w:szCs w:val="24"/>
          <w:lang w:eastAsia="sk-SK"/>
        </w:rPr>
        <w:lastRenderedPageBreak/>
        <w:t>úver poskytovaný vlastníkom bytov a nebytových priestorov zastúpených správcom alebo spoločenstvom vlastníkov na účely podľa osobitného predpisu.</w:t>
      </w: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 xml:space="preserve"> </w:t>
      </w: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Z právneho hľadiska možno podvod v akejkoľvek forme ako spoločenský jav považovať za priestupok postihnuteľný v priestupkovom konaní alebo za trestný čin stíhaný v rámci trestného konania alebo za tzv. civilný delikt, v dôsledku ktorého dotknutej osobe vznikajú rôzne práva, napríklad právo požadovať náhradu škody.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Osobitne v prípadoch nebankových obchodných spoločností poskytujúcich úvery a pôžičky (ďalej len „poskytovateľ úveru“) je nevyhnutné skúmať aj okolnosti a príčiny vzniku škody na ich majetku v dôsledku porušenia základných povinností ich zamestnancami vyplývajúcich zo zákona (Zákonník práce) alebo zo zmluvy (napríklad pracovnej zmluvy) preskúmať pravdivosť údajov prezentovaných účastníkom právneho vzťahu v návrhu (žiadosti) o uzatvorenie úverovej zmluvy.</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 xml:space="preserve">Podľa § 7 ods. 1 zákona o spotrebiteľských úveroch veriteľ (fyzická osoba alebo  právnická osoba, ktorá ponúka alebo poskytuje spotrebiteľský úver v rámci svojej podnikateľskej činnosti) je pred uzavretím zmluvy o spotrebiteľskom úvere alebo pred zmenou tejto zmluvy spočívajúcej v navýšení spotrebiteľského úveru </w:t>
      </w:r>
      <w:r w:rsidRPr="009C0DB6">
        <w:rPr>
          <w:rFonts w:ascii="Times New Roman" w:hAnsi="Times New Roman"/>
          <w:szCs w:val="24"/>
          <w:u w:val="single"/>
          <w:lang w:eastAsia="sk-SK"/>
        </w:rPr>
        <w:t>povinný posúdiť</w:t>
      </w:r>
      <w:r w:rsidRPr="009C0DB6">
        <w:rPr>
          <w:rFonts w:ascii="Times New Roman" w:hAnsi="Times New Roman"/>
          <w:szCs w:val="24"/>
          <w:lang w:eastAsia="sk-SK"/>
        </w:rPr>
        <w:t xml:space="preserve"> s odbornou starostlivosťou </w:t>
      </w:r>
      <w:r w:rsidRPr="009C0DB6">
        <w:rPr>
          <w:rFonts w:ascii="Times New Roman" w:hAnsi="Times New Roman"/>
          <w:szCs w:val="24"/>
          <w:u w:val="single"/>
          <w:lang w:eastAsia="sk-SK"/>
        </w:rPr>
        <w:t>schopnosť</w:t>
      </w:r>
      <w:r w:rsidRPr="009C0DB6">
        <w:rPr>
          <w:rFonts w:ascii="Times New Roman" w:hAnsi="Times New Roman"/>
          <w:szCs w:val="24"/>
          <w:lang w:eastAsia="sk-SK"/>
        </w:rPr>
        <w:t xml:space="preserve"> spotrebiteľa splácať spotrebiteľský úver, pričom berie do úvahy  najmä dobu, na ktorú sa poskytuje  spotrebiteľský úver, výšku spotrebiteľského úveru, </w:t>
      </w:r>
      <w:r w:rsidRPr="009C0DB6">
        <w:rPr>
          <w:rFonts w:ascii="Times New Roman" w:hAnsi="Times New Roman"/>
          <w:szCs w:val="24"/>
          <w:u w:val="single"/>
          <w:lang w:eastAsia="sk-SK"/>
        </w:rPr>
        <w:t>príjem</w:t>
      </w:r>
      <w:r w:rsidRPr="009C0DB6">
        <w:rPr>
          <w:rFonts w:ascii="Times New Roman" w:hAnsi="Times New Roman"/>
          <w:szCs w:val="24"/>
          <w:lang w:eastAsia="sk-SK"/>
        </w:rPr>
        <w:t xml:space="preserve">  spotrebiteľa a prípadne aj účel  spotrebiteľského úveru.</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Podľa § 7 ods. 2  zákona o spotrebiteľských úveroch spotrebiteľ je povinný poskytnúť veriteľovi </w:t>
      </w:r>
      <w:r w:rsidRPr="009C0DB6">
        <w:rPr>
          <w:rFonts w:ascii="Times New Roman" w:hAnsi="Times New Roman"/>
          <w:szCs w:val="24"/>
          <w:u w:val="single"/>
          <w:lang w:eastAsia="sk-SK"/>
        </w:rPr>
        <w:t>na jeho žiadosť</w:t>
      </w:r>
      <w:r w:rsidRPr="009C0DB6">
        <w:rPr>
          <w:rFonts w:ascii="Times New Roman" w:hAnsi="Times New Roman"/>
          <w:szCs w:val="24"/>
          <w:lang w:eastAsia="sk-SK"/>
        </w:rPr>
        <w:t xml:space="preserve"> úplné, presné a pravdivé údaje potrebné na </w:t>
      </w:r>
      <w:r w:rsidRPr="009C0DB6">
        <w:rPr>
          <w:rFonts w:ascii="Times New Roman" w:hAnsi="Times New Roman"/>
          <w:szCs w:val="24"/>
          <w:u w:val="single"/>
          <w:lang w:eastAsia="sk-SK"/>
        </w:rPr>
        <w:t>posúdenie schopnosti</w:t>
      </w:r>
      <w:r w:rsidRPr="009C0DB6">
        <w:rPr>
          <w:rFonts w:ascii="Times New Roman" w:hAnsi="Times New Roman"/>
          <w:szCs w:val="24"/>
          <w:lang w:eastAsia="sk-SK"/>
        </w:rPr>
        <w:t xml:space="preserve"> spotrebiteľa splácať spotrebiteľský úver; tým nie je dotknuté </w:t>
      </w:r>
      <w:r w:rsidRPr="009C0DB6">
        <w:rPr>
          <w:rFonts w:ascii="Times New Roman" w:hAnsi="Times New Roman"/>
          <w:szCs w:val="24"/>
          <w:u w:val="single"/>
          <w:lang w:eastAsia="sk-SK"/>
        </w:rPr>
        <w:t>právo veriteľa využívať informácie</w:t>
      </w:r>
      <w:r w:rsidRPr="009C0DB6">
        <w:rPr>
          <w:rFonts w:ascii="Times New Roman" w:hAnsi="Times New Roman"/>
          <w:szCs w:val="24"/>
          <w:lang w:eastAsia="sk-SK"/>
        </w:rPr>
        <w:t xml:space="preserve"> o spotrebiteľovi z príslušnej databázy za podmienok ustanovených osobitným zákonom (napríklad § 92a zákona č. 483/2001 Z. z. o bankách a o zmene a doplnení niektorých zákonov v znení neskorších predpisov).</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Aj zo samotného znenia zmluvných (úverových) podmienok niektorých veriteľov vyplýva, že „(...) klient, ak je o to požiadaný, je povinný predložiť spoločnosti (veriteľovi), resp. splnomocneným osobám dokumenty, ktoré vierohodne potvrdzujú pravdivosť údajov uvedených v návrhu na uzatvorenie zmluvy, resp. klient udeľuje  veriteľovi </w:t>
      </w:r>
      <w:r w:rsidRPr="009C0DB6">
        <w:rPr>
          <w:rFonts w:ascii="Times New Roman" w:hAnsi="Times New Roman"/>
          <w:szCs w:val="24"/>
          <w:u w:val="single"/>
          <w:lang w:eastAsia="sk-SK"/>
        </w:rPr>
        <w:t>súhlas k overovaniu pravdivosti</w:t>
      </w:r>
      <w:r w:rsidRPr="009C0DB6">
        <w:rPr>
          <w:rFonts w:ascii="Times New Roman" w:hAnsi="Times New Roman"/>
          <w:szCs w:val="24"/>
          <w:lang w:eastAsia="sk-SK"/>
        </w:rPr>
        <w:t xml:space="preserve"> týchto údajov a </w:t>
      </w:r>
      <w:r w:rsidRPr="009C0DB6">
        <w:rPr>
          <w:rFonts w:ascii="Times New Roman" w:hAnsi="Times New Roman"/>
          <w:szCs w:val="24"/>
          <w:u w:val="single"/>
          <w:lang w:eastAsia="sk-SK"/>
        </w:rPr>
        <w:t>k osvedčeniu finančnej situácie</w:t>
      </w:r>
      <w:r w:rsidRPr="009C0DB6">
        <w:rPr>
          <w:rFonts w:ascii="Times New Roman" w:hAnsi="Times New Roman"/>
          <w:szCs w:val="24"/>
          <w:lang w:eastAsia="sk-SK"/>
        </w:rPr>
        <w:t xml:space="preserve"> klienta, a to i </w:t>
      </w:r>
      <w:r w:rsidRPr="009C0DB6">
        <w:rPr>
          <w:rFonts w:ascii="Times New Roman" w:hAnsi="Times New Roman"/>
          <w:szCs w:val="24"/>
          <w:u w:val="single"/>
          <w:lang w:eastAsia="sk-SK"/>
        </w:rPr>
        <w:t>u tretích</w:t>
      </w:r>
      <w:r w:rsidRPr="009C0DB6">
        <w:rPr>
          <w:rFonts w:ascii="Times New Roman" w:hAnsi="Times New Roman"/>
          <w:szCs w:val="24"/>
          <w:lang w:eastAsia="sk-SK"/>
        </w:rPr>
        <w:t xml:space="preserve"> osôb (...)“. Niektoré úverové podmienky spoločnosti umožňujú vyhotovovať </w:t>
      </w:r>
      <w:r w:rsidRPr="009C0DB6">
        <w:rPr>
          <w:rFonts w:ascii="Times New Roman" w:hAnsi="Times New Roman"/>
          <w:szCs w:val="24"/>
          <w:u w:val="single"/>
          <w:lang w:eastAsia="sk-SK"/>
        </w:rPr>
        <w:t>so súhlasom</w:t>
      </w:r>
      <w:r w:rsidRPr="009C0DB6">
        <w:rPr>
          <w:rFonts w:ascii="Times New Roman" w:hAnsi="Times New Roman"/>
          <w:szCs w:val="24"/>
          <w:lang w:eastAsia="sk-SK"/>
        </w:rPr>
        <w:t xml:space="preserve">  klienta kópie dokladov totožnosti klienta a iných jeho dokladov, ktoré veriteľovi predložil, vrátane pracovnej zmluvy, výplatných pások a potvrdenia o výške príjmu.</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Preverenie tvrdení uvádzaných žiadateľmi o úver týkajúcich sa zamestnávateľa, výkonu inej zárobkovej činnosti  a čistého mesačného príjmu nepredstavuje neobvyklé úsilie zo  strany poskytovateľa úveru, pri vynaložení ktorého by sa mohol vyhnúť neistému obchodu a v konečnom  dôsledku i finančnej strate.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Na preverenie údajov uvádzaných žiadateľom o úver poskytovateľ úveru často  nevynaloží ani minimálne úsilie napriek tomu, že jeho úverové podmienky mu takýto postup umožňujú. Poskytovatelia úverov spravidla  neoverujú ani vierohodnosť a pravdivosť telefonického kontaktu na  (údajného)  zamestnávateľa žiadateľa o úver, ktoré im žiadateľ poskytol a ktoré by bolo možné bez ťažkostí overiť bezprostredne  pred schválením a uzatvorením zmluvy o úvere.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Poskytovatelia úverov  nepreverujú  ani to, či v obchodnom registri príslušného súdu je zapísaná právnická osoba, ktorá mala ako zamestnávateľ potvrdenie vystaviť. Inak by  zistili, že ide o fiktívnu (vymyslenú) obchodnú spoločnosť, ktorá v obchodnom registri nie je zapísaná, resp.  už niekoľko rokov nevykonáva podnikateľskú činnosť.</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 „Obyčajné klamstvo“ zo strany dlžníka pri uzatváraní zmluvy nie je možné generalizovane považovať za „uvádzanie do omylu“ (veriteľa) vtedy, keď tvrdenie konkrétnej osoby (žiadateľa o úver) podlieha preskúmavaniu a keď okrem lživého tvrdenia </w:t>
      </w:r>
      <w:r w:rsidRPr="009C0DB6">
        <w:rPr>
          <w:rFonts w:ascii="Times New Roman" w:hAnsi="Times New Roman"/>
          <w:szCs w:val="24"/>
          <w:u w:val="single"/>
          <w:lang w:eastAsia="sk-SK"/>
        </w:rPr>
        <w:t>nebolo takou osobou urobené nič</w:t>
      </w:r>
      <w:r w:rsidRPr="009C0DB6">
        <w:rPr>
          <w:rFonts w:ascii="Times New Roman" w:hAnsi="Times New Roman"/>
          <w:szCs w:val="24"/>
          <w:lang w:eastAsia="sk-SK"/>
        </w:rPr>
        <w:t>, čím by sa preskúmavanie tvrdenia sťažilo. Ak má  osoba vykonávajúca majetkovú dispozíciu (v danom  prípade obchodná spoločnosť ako veriteľ – poskytovateľ úveru) možnosť  preskúmať tvrdenia iných osôb, a to prostriedkami  bežne dostupnými a bežne použiteľnými (navyše niekedy upravenými v zmluvných  podmienkach poskytovateľa úveru), nie je možné len samotné uvedenie nepravdy bez ďalšieho považovať za „uvádzanie do omylu“  ako znak objektívnej stránky skutkovej podstaty trestného činu podvodu podľa     § 221 Trestného  zákona, resp.  trestného činu úverového  podvodu podľa § 222 Trestného zákona (špeciálny trestný čin vo vzťahu k trestnému činu podvodu podľa § 221 Trestného zákona).</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Uvedený záver vyplýva aj z rozhodovacej činnosti súdov, podľa ktorej nedodržanie obvyklej miery opatrnosti  účastníkom súkromno-právneho vzťahu vylučuje záver o existencii zákonných znakov trestného činu.</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Ako príklady uvádzam tieto súdne rozhodnutia: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Z rozsudku Najvyššieho súdu Slovenskej republiky sp. zn. 2Tdo V 21/2013 zo dňa               4. februára 2014 vyplýva, že: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i/>
          <w:szCs w:val="24"/>
          <w:lang w:eastAsia="sk-SK"/>
        </w:rPr>
      </w:pPr>
      <w:r w:rsidRPr="009C0DB6">
        <w:rPr>
          <w:rFonts w:ascii="Times New Roman" w:hAnsi="Times New Roman"/>
          <w:i/>
          <w:szCs w:val="24"/>
          <w:lang w:eastAsia="sk-SK"/>
        </w:rPr>
        <w:tab/>
        <w:t xml:space="preserve">„Spoločný základ podvodných konaní spočíva v „omyle“ inej osoby (osoby odlišnej od páchateľa). Omyl ako rozpor predstavy so skutočnosťou v zmysle skutkovej podstaty trestného činu podvodu musí mať určitú „kvalitu“ (nestačí akákoľvek nepravda) a musí byť prostriedkom spôsobilým na  oklamanie iného v konkrétnej situácii. Ak však osoba v omyle vykonávajúca  majetkovú dispozíciu má </w:t>
      </w:r>
      <w:r w:rsidRPr="009C0DB6">
        <w:rPr>
          <w:rFonts w:ascii="Times New Roman" w:hAnsi="Times New Roman"/>
          <w:i/>
          <w:szCs w:val="24"/>
          <w:u w:val="single"/>
          <w:lang w:eastAsia="sk-SK"/>
        </w:rPr>
        <w:t>povinnosť</w:t>
      </w:r>
      <w:r w:rsidRPr="009C0DB6">
        <w:rPr>
          <w:rFonts w:ascii="Times New Roman" w:hAnsi="Times New Roman"/>
          <w:i/>
          <w:szCs w:val="24"/>
          <w:lang w:eastAsia="sk-SK"/>
        </w:rPr>
        <w:t xml:space="preserve"> (vyplývajúcu zo zákona, zo zmluvy alebo  zvyklostí) preskúmať tvrdenia iných osôb, a to prostriedkami bežne dostupnými a v obdobných  prípadoch  aj bežne používanými,  nie  je  možné  len  uvedenie nepravdy, bez ďalšieho považovať za „uvádzanie do omylu“ v zmysle skutkovej podstaty trestného činu podvodu. V posudzovanej veci nejde o situáciu, že samotné uvedenie nepravdy, ktorej preskúmavanie nie je bežné, resp. omyl ani pri zvýšenej miere opatrnosti nemožno rozpoznať, prípadne osoba vykonávajúca dispozíciu  nie  je  objektívne  schopná  v  určitom  čase   a stave disponujúcimi prostriedkami prípadný omyl eliminovať. V danom  prípade je potrebné brať do úvahy aj tzv. dodržanie obvyklej miery opatrnosti osoby, ktorá je uvádzaná do omylu alebo ktorej omyl chce páchateľ využiť.“.</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Z uznesenia Najvyššieho súdu Slovenskej republiky sp. zn. 3Tdo 15/2014 zo dňa               3. decembra 2014 vyplýva, že: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i/>
          <w:szCs w:val="24"/>
          <w:lang w:eastAsia="sk-SK"/>
        </w:rPr>
      </w:pPr>
      <w:r w:rsidRPr="009C0DB6">
        <w:rPr>
          <w:rFonts w:ascii="Times New Roman" w:hAnsi="Times New Roman"/>
          <w:i/>
          <w:szCs w:val="24"/>
          <w:lang w:eastAsia="sk-SK"/>
        </w:rPr>
        <w:t>„“ povinnú“ mieru opatrnosti je  potrebné posudzovať vždy  v rámci reálnej  situácie toho – ktorého  prípadu, berúc do úvahy aj osobu poškodeného (vek, životné skúsenosti, postavenie v spoločnosti)“.</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lastRenderedPageBreak/>
        <w:tab/>
        <w:t xml:space="preserve">Na základe uvedených názorov možno uzavrieť, že uvedenie nepravdivých skutočností nie je možné  samo  osebe  považovať  za  „uvedenie do omylu“  podľa </w:t>
      </w:r>
      <w:r w:rsidRPr="009C0DB6">
        <w:rPr>
          <w:rFonts w:ascii="Times New Roman" w:hAnsi="Times New Roman"/>
          <w:szCs w:val="24"/>
          <w:u w:val="single"/>
          <w:lang w:eastAsia="sk-SK"/>
        </w:rPr>
        <w:t>základnej</w:t>
      </w:r>
      <w:r w:rsidRPr="009C0DB6">
        <w:rPr>
          <w:rFonts w:ascii="Times New Roman" w:hAnsi="Times New Roman"/>
          <w:szCs w:val="24"/>
          <w:lang w:eastAsia="sk-SK"/>
        </w:rPr>
        <w:t xml:space="preserve"> skutkovej podstaty trestného činu úverového podvodu, pretože  „uvádzanie nepravdy“ neznamená, že tieto nepravdivé skutočnosti boli alebo mohli byť objektívne  spôsobilé  oklamať klamanú (poškodenú) osobu. Vo všeobecnosti sa za omyl považuje  akákoľvek predstava, ktorá sa nezhoduje so skutočnosťou, pričom náležitosť „uvedenia do omylu“ nie je naplnená každou, akoukoľvek nepravdou, ale sa vyžaduje, aby táto nepravda (klamstvo) mohla vyvolať v osobe oklamaného omyl, pri  ktorom sa na strane oklamaného predpokladá činnosť nielen vnímajúca, ale aj usudzujúca, teda na strane oklamaného nemožno odhliadnuť od rozsahu jeho vedomostí a skutočností, ohľadom ktorých je klamaný, teda od jeho spôsobilosti byť oklamaný. Nie je možné napríklad bez ďalšieho opomenúť možnosť oklamaného omyl jednoducho eliminovať.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Absencia omylu je dôvodom na určenie trestnoprávnej zodpovednosti aj pri kvalifikovaných skutkových podstatách trestného činu úverového podvodu vychádzajúcich zo základnej skutkovej podstaty podľa § 222 ods. 1 Trestného zákona, keďže neexistencia omylu je otázkou nenaplnenia znaku skutkovej podstaty trestného činu. Teda, ak nie sú naplnené formálne znaky základnej skutkovej podstaty trestného činu, nemôžu byť naplnené ani znaky kvalifikovanej skutkovej podstaty trestného činu.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V prípade spoločností poskytujúcich úverové produkty je treba vyžadovať, aby preverili žiadateľov o úver bežnými (dostupnými) prostriedkami (napríklad cez obchodný register, sociálnu poisťovňu, telefonické či  osobné preverovanie u zamestnávateľa a pod.). Nemusia pritom vynaložiť nejaké špecifické úsilie a vykonať podrobné preverovanie žiadateľa. Otázka, či oklamaný mohol svoj  omyl poznať, je nerozhodná (bez významu) vtedy, ak by musel vynaložiť viac úsilia, než sa za daných okolností všeobecne predpokladá (napríklad použitie  falošných  dokladov  totožnosti  nie  je,   spravidla,  možné  zistiť  za  použitia  obvyklej  miery  opatrnosti, pretože falošnosť dokladov nie je často možné zistiť len pohľadom bez bližšieho expertízneho skúmania).</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Povinnosť dodržiavať obvyklú mieru opatrnosti vyplýva z ustanovenia § 415 Občianskeho zákonníka, pričom ju </w:t>
      </w:r>
      <w:r w:rsidRPr="009C0DB6">
        <w:rPr>
          <w:rFonts w:ascii="Times New Roman" w:hAnsi="Times New Roman"/>
          <w:szCs w:val="24"/>
          <w:u w:val="single"/>
          <w:lang w:eastAsia="sk-SK"/>
        </w:rPr>
        <w:t>má každý účastník</w:t>
      </w:r>
      <w:r w:rsidRPr="009C0DB6">
        <w:rPr>
          <w:rFonts w:ascii="Times New Roman" w:hAnsi="Times New Roman"/>
          <w:szCs w:val="24"/>
          <w:lang w:eastAsia="sk-SK"/>
        </w:rPr>
        <w:t xml:space="preserve"> občianskoprávneho (obchodnoprávneho) vzťahu, teda v záväzkových vzťahoch nielen dlžník, ale aj veriteľ.</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Podľa § 415 Občianskeho zákonníka každý je povinný počínať si tak, aby nedochádzalo ku škodám na zdraví, na majetku, na prírode a životnom prostredí.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Tento rovnovážny vzťah medzi účastníkmi zmluvy by mal byť zachovaný aj pri posudzovaní trestnosti konania týchto subjektov, ktoré porušením tejto  právnej povinnosti zodpovedajú za škodu podľa ustanovenia § 420 ods. 1 Občianskeho zákonníka.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Podľa § 420 ods. 1 Občianskeho zákonníka každý zodpovedá za škodu, ktorú spôsobil porušením právnej povinnosti.</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 xml:space="preserve">Na strane veriteľa, konkrétne osôb oprávnených v jeho mene uzatvárať úverové zmluvy, najmä zamestnancov spoločností poskytujúcich úvery, nie je navyše vylúčená ich trestnoprávna zodpovednosť v dôsledku preukázaného zanedbania svojich povinností pri preverovaní predložených dokladov. </w:t>
      </w:r>
    </w:p>
    <w:p w:rsidR="009C0DB6" w:rsidRPr="009C0DB6" w:rsidRDefault="009C0DB6" w:rsidP="009C0DB6">
      <w:pPr>
        <w:ind w:firstLine="708"/>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lastRenderedPageBreak/>
        <w:t>Trestného činu úverového podvodu podľa § 222 ods. 2 Trestného zákona sa dopustí ten, kto ako zamestnanec, člen, štatutárny orgán, zástupca alebo iná osoba oprávnená konať za toho, kto úver poskytuje, umožní získať úver tomu, o kom vie, že nespĺňa podmienky určené na jeho poskytnutie.</w:t>
      </w:r>
    </w:p>
    <w:p w:rsidR="009C0DB6" w:rsidRPr="009C0DB6" w:rsidRDefault="009C0DB6" w:rsidP="009C0DB6">
      <w:pPr>
        <w:ind w:firstLine="708"/>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V intenciách vyššie uvedených úvah je možné konštatovať, že v prípade, ak veriteľ nedodržal ani elementárnu mieru opatrnosti pri uzatváraní zmluvy, ale následne nedošlo z akéhokoľvek dôvodu k uzatvoreniu zmluvy a k poskytnutiu peňažných prostriedkov žiadateľovi, nie je dôvod na určenie trestnoprávnej zodpovednosti žiadateľa o úver za pokus trestného činu úverového podvodu.</w:t>
      </w:r>
    </w:p>
    <w:p w:rsidR="009C0DB6" w:rsidRPr="009C0DB6" w:rsidRDefault="009C0DB6" w:rsidP="009C0DB6">
      <w:pPr>
        <w:ind w:firstLine="708"/>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Ak veriteľ (obchodná spoločnosť), resp. osoba oprávnená za neho konať aj dodržala požadovanú mieru opatrnosti pri posudzovaní schopnosti dlžníka splácať úver a peňažné prostriedky žiadateľovi o úver boli poskytnuté, nie je vylúčená   trestnoprávna  zodpovednosť  zástupcu  obchodnej  spoločnosti,  ak takýmto skutkom boli naplnené všetky zákonné znaky skutkovej podstaty trestného činu úverového podvodu podľa § 222 ods. 2 Trestného zákona.</w:t>
      </w: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 xml:space="preserve">  </w:t>
      </w: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Poskytovateľ úveru (veriteľ), ako účastník súkromnoprávneho vzťahu, je teda primárne povinný aspoň v minimálnej miere  dbať na nevyhnutnú ochranu svojich práv a majetkových záujmov, dodržiavať potrebnú mieru opatrnosti a zabezpečiť si ľahko dostupné informácie významné pre  rozhodnutie o poskytnutí úveru.</w:t>
      </w:r>
    </w:p>
    <w:p w:rsidR="009C0DB6" w:rsidRPr="009C0DB6" w:rsidRDefault="009C0DB6" w:rsidP="009C0DB6">
      <w:pPr>
        <w:jc w:val="both"/>
        <w:rPr>
          <w:rFonts w:ascii="Times New Roman" w:hAnsi="Times New Roman"/>
          <w:b/>
          <w:szCs w:val="24"/>
          <w:lang w:eastAsia="sk-SK"/>
        </w:rPr>
      </w:pPr>
    </w:p>
    <w:p w:rsidR="009C0DB6" w:rsidRPr="009C0DB6" w:rsidRDefault="009C0DB6" w:rsidP="009C0DB6">
      <w:pPr>
        <w:ind w:firstLine="708"/>
        <w:jc w:val="both"/>
        <w:rPr>
          <w:rFonts w:ascii="Times New Roman" w:hAnsi="Times New Roman"/>
          <w:b/>
          <w:szCs w:val="24"/>
          <w:lang w:eastAsia="sk-SK"/>
        </w:rPr>
      </w:pPr>
      <w:r w:rsidRPr="009C0DB6">
        <w:rPr>
          <w:rFonts w:ascii="Times New Roman" w:hAnsi="Times New Roman"/>
          <w:b/>
          <w:szCs w:val="24"/>
          <w:lang w:eastAsia="sk-SK"/>
        </w:rPr>
        <w:t>K bodu 2:</w:t>
      </w:r>
    </w:p>
    <w:p w:rsidR="009C0DB6" w:rsidRPr="009C0DB6" w:rsidRDefault="009C0DB6" w:rsidP="009C0DB6">
      <w:pPr>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V rámci dokazovania počas trestného konania vedeného pre trestný čin úverového podvodu podľa § 222 Trestného zákona orgány činné v trestnom konaní musia okrem iných okolností dokazovať aj následok – spôsobenie škody aspoň nie malej trestným činom a určiť jej výšku /§ 119 ods.1 písm. e) Trestného poriadku/.</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Podľa § 124 ods. 1 Trestného zákona škodou sa na účely tohto zákona rozumie ujma na majetku alebo reálny úbytok na majetku alebo na právach poškodeného alebo jeho iná ujma, ktorá je v príčinnej súvislosti s trestným činom, bez ohľadu na to, či ide o škodu na veci alebo na právach. Škodou sa na účely tohto zákona rozumie aj získanie prospechu v príčinnej súvislosti s trestným činom.    </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Podľa § 124 ods. 2 Trestného zákona škodou sa rozumie v zmysle odseku 1 aj ujma na zisku, na ktorý by poškodený inak vzhľadom na okolnosti a svoje pomery mal nárok alebo ktorý by mohol odôvodnene dosiahnuť.</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Vo všeobecnosti v prípadoch úverových podvodov nemožno škodu stotožňovať s výškou získaného (poskytnutého) úveru, ak zároveň nedošlo k ujme na majetku veriteľa.</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Za úver (kredit) možno v užšom zmysle považovať dočasné poskytnutie peňažných prostriedkov v akejkoľvek forme, ktoré je nutné podľa dohodnutých podmienok vrátiť. Úver poskytuje veriteľ dlžníkovi, v posudzovaných prípadoch spotrebiteľovi.</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Ak z úverového vzťahu vyplýva pre spotrebiteľa platenie úrokov, je podľa § 124 ods. 2 Trestného zákona potrebné k základnej sume úveru pripočítať aj príslušnú sumu úrokov, na ktoré má poškodený (veriteľ) celkom zjavne nárok ako odplatu za užívanie jeho finančných prostriedkov.</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Úrok je podľa aktuálnej právnej úpravy - § 1 ods. 1 nariadenia vlády Slovenskej republiky č. 87/1995 Z. z., ktorým sa vykonávajú niektoré ustanovenia Občianskeho zákonníka v znení neskorších predpisov (ďalej len „nariadenie vlády č. 87/1995 Z. z.“) súčasťou odplaty pri poskytnutí peňažných prostriedkov spotrebiteľovi spolu s poplatkami a akýmikoľvek inými odplatnými plneniami alebo inými nákladmi, ktoré sú dohodnuté pri podpise spotrebiteľskej zmluvy a ktoré sú spojené s poskytnutím peňažných prostriedkov alebo vyžadované pri poskytnutí peňažných prostriedkov. Pri výpočte odplaty sa vychádza z predpokladu, že spotrebiteľská zmluva zostane platná dohodnutý čas a že dodávateľ a spotrebiteľ si budú plniť svoje povinnosti za podmienok a v lehotách dohodnutých v spotrebiteľskej zmluve.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Podľa § 53 ods. 6 Občianskeho zákonníka, ak predmetom spotrebiteľskej zmluvy je poskytnutie peňažných prostriedkov, nesmie odplata prevyšovať najvyššiu prípustnú odplatu, ktorú možno od spotrebiteľa pri poskytnutí peňažných prostriedkov požadovať. Odplatu, podrobnosti o stanovení odplaty, kritériách jej stanovenia a najvyššiu prípustnú výšku odplaty ustanovuje vykonávací predpis (§ 1a nariadenia vlády č. 87/1995 Z. z.).</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Podľa § 1 ods. 4 nariadenia vlády č. 87/1995 Z. z. na účely stanovenia najvyššej prípustnej výšky odplaty podľa § 1a sa použije priemerná hodnota ročnej percentuálnej miery nákladov bánk a pobočiek zahraničných bánk pre jednotlivé typy novoposkytnutých spotrebiteľských úverov zverejnená podľa osobitného predpisu (§ 21 ods. 2 zákona o spotrebiteľských úveroch), naposledy v čase predchádzajúcom uzavretiu spotrebiteľskej zmluvy.</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Podľa § 1a ods. 1 nariadenia vlády č. 87/1995 Z. z. platí, ak odseky 2 a 3 neustanovujú inak, že odplata pri poskytnutí peňažných prostriedkov spotrebiteľovi nesmie prevýšiť dvojnásobok priemernej ročnej percentuálnej miery nákladov podľa § 1 ods. 4 pri obdobnom úvere alebo pôžičke ročne. Na účely tohto nariadenia vlády sa obdobným úverom alebo pôžičkou rozumie obdobný produkt, ktorý je svojou povahou najbližší forme poskytnutia peňažných prostriedkov spotrebiteľovi podľa predchádzajúcej vety.</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Najvyššia prípustná výška odplaty sa posudzuje podľa pravidiel uvedených v odsekoch 1 až 3 </w:t>
      </w:r>
      <w:r w:rsidRPr="009C0DB6">
        <w:rPr>
          <w:rFonts w:ascii="Times New Roman" w:hAnsi="Times New Roman"/>
          <w:szCs w:val="24"/>
          <w:u w:val="single"/>
          <w:lang w:eastAsia="sk-SK"/>
        </w:rPr>
        <w:t>ku dňu uzavretia</w:t>
      </w:r>
      <w:r w:rsidRPr="009C0DB6">
        <w:rPr>
          <w:rFonts w:ascii="Times New Roman" w:hAnsi="Times New Roman"/>
          <w:szCs w:val="24"/>
          <w:lang w:eastAsia="sk-SK"/>
        </w:rPr>
        <w:t xml:space="preserve"> spotrebiteľskej zmluvy, ktorej predmetnom je poskytnutie peňažných prostriedkov spotrebiteľovi (§ 1a ods. 4 nariadenia vlády č. 87/1995 Z. z.).</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Výška odplaty pri poskytnutí úveru by mohla byť pri nedodržaní vyššie uvedených kritérií aj neprijateľnou podmienkou spotrebiteľskej zmluvy, keďže neprijateľné podmienky sú uvedené v § 53 ods. 4 Občianskeho zákonníka len demonštratívnym výpočtom.</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Podľa § 53 ods. 1 Občianskeho zákonníka spotrebiteľské zmluvy nesmú obsahovať ustanovenia, ktoré spôsobujú značnú nerovnováhu v právach a povinnostiach zmluvných strán v neprospech spotrebiteľa (neprijateľná podmienka). To neplatí, ak ide o zmluvné podmienky, ktoré sa týkajú hlavného predmetu plnenia a primeranosti ceny, ak tieto zmluvné podmienky sú vyjadrené určito, jasne a zrozumiteľne alebo ak boli neprijateľné podmienky individuálne dojednané.   </w:t>
      </w: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 xml:space="preserve">       </w:t>
      </w: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Podľa § 53 ods. 5 Občianskeho zákonníka neprijateľné podmienky upravené v spotrebiteľských zmluvách sú neplatné.</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lastRenderedPageBreak/>
        <w:tab/>
        <w:t>Podľa § 3 ods. 3 zákona č. 250/2007 Z. z. o ochrane spotrebiteľa a o zmene zákona Slovenskej národnej rady č. 372/1990 Zb. o priestupkoch v znení neskorších predpisov v znení neskorších predpisov každý spotrebiteľ má právo na ochranu pred neprijateľnými podmienkami v spotrebiteľských zmluvách (§ 52 až § 54 Občianskeho zákonníka).</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Odplata požadovaná od spotrebiteľa pri poskytnutí peňažných prostriedkov </w:t>
      </w:r>
      <w:r w:rsidRPr="009C0DB6">
        <w:rPr>
          <w:rFonts w:ascii="Times New Roman" w:hAnsi="Times New Roman"/>
          <w:szCs w:val="24"/>
          <w:u w:val="single"/>
          <w:lang w:eastAsia="sk-SK"/>
        </w:rPr>
        <w:t>musí byť každým štátnym orgánom</w:t>
      </w:r>
      <w:r w:rsidRPr="009C0DB6">
        <w:rPr>
          <w:rFonts w:ascii="Times New Roman" w:hAnsi="Times New Roman"/>
          <w:szCs w:val="24"/>
          <w:lang w:eastAsia="sk-SK"/>
        </w:rPr>
        <w:t xml:space="preserve"> (nielen súdom) vyhodnocovaná tak, či je alebo nie je neprijateľnou podmienkou spotrebiteľskej zmluvy podľa § 53 ods. 6 Občianskeho zákonníka, a to aj s ohľadom na Smernicu Rady č. 93/13/EHS z 5. apríla 1993 o nekalých podmienkach v spotrebiteľských zmluvách.</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Je nevyhnutné priznať trestnoprávnu ochranu veriteľovi, ktorý bol pri poskytovaní peňažných prostriedkov podvedený dlžníkom (žiadateľom o úver), ale nie je možné priznať právnu ochranu, teda trestnoprávnu ochranu neprijateľným (nekalým) podmienkam, ktoré veriteľ požaduje od dlžníka v spotrebiteľskej zmluve.</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 xml:space="preserve">Ak teda veriteľ požaduje neprimerane vysokú odplatu za poskytnutie úveru (nad rámec vyššie uvedených kritérií), orgány činné v trestnom konaní tieto finančné prostriedky  </w:t>
      </w:r>
      <w:r w:rsidRPr="009C0DB6">
        <w:rPr>
          <w:rFonts w:ascii="Times New Roman" w:hAnsi="Times New Roman"/>
          <w:szCs w:val="24"/>
          <w:u w:val="single"/>
          <w:lang w:eastAsia="sk-SK"/>
        </w:rPr>
        <w:t>nezahrnú do výšky spôsobenej škody</w:t>
      </w:r>
      <w:r w:rsidRPr="009C0DB6">
        <w:rPr>
          <w:rFonts w:ascii="Times New Roman" w:hAnsi="Times New Roman"/>
          <w:szCs w:val="24"/>
          <w:lang w:eastAsia="sk-SK"/>
        </w:rPr>
        <w:t xml:space="preserve"> dlžníkom.</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ind w:firstLine="708"/>
        <w:jc w:val="both"/>
        <w:rPr>
          <w:rFonts w:ascii="Times New Roman" w:hAnsi="Times New Roman"/>
          <w:szCs w:val="24"/>
          <w:lang w:eastAsia="sk-SK"/>
        </w:rPr>
      </w:pPr>
      <w:r w:rsidRPr="009C0DB6">
        <w:rPr>
          <w:rFonts w:ascii="Times New Roman" w:hAnsi="Times New Roman"/>
          <w:szCs w:val="24"/>
          <w:lang w:eastAsia="sk-SK"/>
        </w:rPr>
        <w:t xml:space="preserve">Z hľadiska následku trestného činu pri trestnom čine úverového podvodu podľa § 222 Trestného zákona </w:t>
      </w:r>
      <w:r w:rsidRPr="009C0DB6">
        <w:rPr>
          <w:rFonts w:ascii="Times New Roman" w:hAnsi="Times New Roman"/>
          <w:szCs w:val="24"/>
          <w:u w:val="single"/>
          <w:lang w:eastAsia="sk-SK"/>
        </w:rPr>
        <w:t>pri vyriešení predbežnej otázky,</w:t>
      </w:r>
      <w:r w:rsidRPr="009C0DB6">
        <w:rPr>
          <w:rFonts w:ascii="Times New Roman" w:hAnsi="Times New Roman"/>
          <w:szCs w:val="24"/>
          <w:lang w:eastAsia="sk-SK"/>
        </w:rPr>
        <w:t xml:space="preserve"> či odplata za poskytnutý úver je alebo nie je neprijateľnou podmienkou spotrebiteľskej zmluvy, sa  výška škody v trestnom konaní určí  len samotnou sumou poskytnutých peňažných prostriedkov, ak </w:t>
      </w:r>
      <w:r w:rsidRPr="009C0DB6">
        <w:rPr>
          <w:rFonts w:ascii="Times New Roman" w:hAnsi="Times New Roman"/>
          <w:szCs w:val="24"/>
          <w:u w:val="single"/>
          <w:lang w:eastAsia="sk-SK"/>
        </w:rPr>
        <w:t>je odplata za ich poskytnutie neprijateľnou podmienkou</w:t>
      </w:r>
      <w:r w:rsidRPr="009C0DB6">
        <w:rPr>
          <w:rFonts w:ascii="Times New Roman" w:hAnsi="Times New Roman"/>
          <w:szCs w:val="24"/>
          <w:lang w:eastAsia="sk-SK"/>
        </w:rPr>
        <w:t xml:space="preserve"> spotrebiteľskej zmluvy alebo výška škody bude vyššia od sumy poskytnutých peňažných prostriedkov o sumu odplaty, ak </w:t>
      </w:r>
      <w:r w:rsidRPr="009C0DB6">
        <w:rPr>
          <w:rFonts w:ascii="Times New Roman" w:hAnsi="Times New Roman"/>
          <w:szCs w:val="24"/>
          <w:u w:val="single"/>
          <w:lang w:eastAsia="sk-SK"/>
        </w:rPr>
        <w:t>nie je odplata za poskytnutý úver neprijateľnou podmienkou</w:t>
      </w:r>
      <w:r w:rsidRPr="009C0DB6">
        <w:rPr>
          <w:rFonts w:ascii="Times New Roman" w:hAnsi="Times New Roman"/>
          <w:szCs w:val="24"/>
          <w:lang w:eastAsia="sk-SK"/>
        </w:rPr>
        <w:t xml:space="preserve"> zmluvy.</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Z občianskoprávneho hľadiska len súd môže vysloviť, vzhľadom na neprimerane vysokú odplatu za poskytnutie úveru,  absolútnu neplatnosť celej spotrebiteľskej zmluvy alebo neplatnosť len tejto neprijateľnej podmienky zmluvy, ktorá je oddeliteľnou časťou zmluvy.</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r w:rsidRPr="009C0DB6">
        <w:rPr>
          <w:rFonts w:ascii="Times New Roman" w:hAnsi="Times New Roman"/>
          <w:szCs w:val="24"/>
          <w:lang w:eastAsia="sk-SK"/>
        </w:rPr>
        <w:tab/>
        <w:t>Z trestnoprávneho hľadiska je podstatné to, či páchateľ (úverový dlžník) naplnil svojím konaním obligatórne znaky skutkovej podstaty trestného činu úverového podvodu podľa § 222 Trestného zákona, a to bez ohľadu na to, aká výška odplaty za poskytnutý úver bola v spotrebiteľskej zmluve stanovená.</w:t>
      </w:r>
    </w:p>
    <w:p w:rsidR="009C0DB6" w:rsidRPr="009C0DB6" w:rsidRDefault="009C0DB6" w:rsidP="009C0DB6">
      <w:pPr>
        <w:jc w:val="both"/>
        <w:rPr>
          <w:rFonts w:ascii="Times New Roman" w:hAnsi="Times New Roman"/>
          <w:szCs w:val="24"/>
          <w:lang w:eastAsia="sk-SK"/>
        </w:rPr>
      </w:pPr>
    </w:p>
    <w:p w:rsidR="009C0DB6" w:rsidRPr="009C0DB6" w:rsidRDefault="009C0DB6" w:rsidP="009C0DB6">
      <w:pPr>
        <w:jc w:val="both"/>
        <w:rPr>
          <w:rFonts w:ascii="Times New Roman" w:hAnsi="Times New Roman"/>
          <w:szCs w:val="24"/>
          <w:lang w:eastAsia="sk-SK"/>
        </w:rPr>
      </w:pPr>
    </w:p>
    <w:p w:rsidR="009C0DB6" w:rsidRDefault="009C0DB6"/>
    <w:sectPr w:rsidR="009C0D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A4607"/>
    <w:multiLevelType w:val="hybridMultilevel"/>
    <w:tmpl w:val="24A64AAE"/>
    <w:lvl w:ilvl="0" w:tplc="8A28A694">
      <w:start w:val="1"/>
      <w:numFmt w:val="lowerLetter"/>
      <w:lvlText w:val="%1)"/>
      <w:lvlJc w:val="left"/>
      <w:pPr>
        <w:ind w:left="360" w:hanging="360"/>
      </w:pPr>
      <w:rPr>
        <w:rFonts w:cs="Times New Roman"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
    <w:nsid w:val="16E15A7F"/>
    <w:multiLevelType w:val="hybridMultilevel"/>
    <w:tmpl w:val="6406A8D8"/>
    <w:lvl w:ilvl="0" w:tplc="041B0017">
      <w:start w:val="1"/>
      <w:numFmt w:val="lowerLetter"/>
      <w:lvlText w:val="%1)"/>
      <w:lvlJc w:val="left"/>
      <w:pPr>
        <w:ind w:left="360" w:hanging="360"/>
      </w:pPr>
      <w:rPr>
        <w:rFonts w:cs="Times New Roman"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2">
    <w:nsid w:val="29694F6F"/>
    <w:multiLevelType w:val="hybridMultilevel"/>
    <w:tmpl w:val="BECE6C1C"/>
    <w:lvl w:ilvl="0" w:tplc="4DF662B8">
      <w:start w:val="1"/>
      <w:numFmt w:val="decimal"/>
      <w:lvlText w:val="%1."/>
      <w:lvlJc w:val="left"/>
      <w:pPr>
        <w:ind w:left="720" w:hanging="360"/>
      </w:pPr>
      <w:rPr>
        <w:rFonts w:cs="Times New Roman" w:hint="default"/>
        <w:b/>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DB6"/>
    <w:rsid w:val="007471A5"/>
    <w:rsid w:val="009C0DB6"/>
    <w:rsid w:val="00AF3B74"/>
    <w:rsid w:val="00BB4109"/>
    <w:rsid w:val="00D32D5B"/>
    <w:rsid w:val="00DA768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6809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7001</Words>
  <Characters>39910</Characters>
  <Application>Microsoft Office Word</Application>
  <DocSecurity>0</DocSecurity>
  <Lines>332</Lines>
  <Paragraphs>93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DUGOVA Katarina</dc:creator>
  <cp:lastModifiedBy>DUGOVA Katarina</cp:lastModifiedBy>
  <cp:revision>2</cp:revision>
  <dcterms:created xsi:type="dcterms:W3CDTF">2018-08-07T07:31:00Z</dcterms:created>
  <dcterms:modified xsi:type="dcterms:W3CDTF">2018-08-07T07:31:00Z</dcterms:modified>
</cp:coreProperties>
</file>